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659/2013 vom 4. Juni 2014</w:t>
      </w:r>
    </w:p>
    <w:p>
      <w:r>
        <w:t>Bundesgericht, 2014-06-04, FR</w:t>
      </w:r>
    </w:p>
    <w:p>
      <w:r>
        <w:rPr>
          <w:b/>
        </w:rPr>
        <w:t xml:space="preserve">Quelle: </w:t>
      </w:r>
      <w:r>
        <w:t>https://mcp.opencaselaw.ch/entscheid/bger_8C_659_2013</w:t>
      </w:r>
    </w:p>
    <w:p>
      <w:r>
        <w:t>FR: TF 8C 659/2013 du 4 juin 2014</w:t>
      </w:r>
    </w:p>
    <w:p>
      <w:r>
        <w:t>IT: TF 8C 659/2013 del 4 giugno 2014</w:t>
      </w:r>
    </w:p>
    <w:p>
      <w:pPr>
        <w:pStyle w:val="Heading2"/>
      </w:pPr>
      <w:r>
        <w:t>Regeste</w:t>
      </w:r>
    </w:p>
    <w:p>
      <w:r>
        <w:t>Assurance-invalidité | Assurance-invalidité</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Selon l' art. 28 al. 1 LAI , l'assuré a droit à une rente si sa capacité de gain ou sa capacité d'accomplir ses travaux habituels ne peut pas être rétablie, maintenue ou améliorée par des mesures de réadaptation raisonnablement exigibles (let. a), s'il a présenté une incapacité de travail ( art. 6 LPGA [RS 830.1]) d'au moins 40 % en moyenne durant une année sans interruption notable (let. b), et si, au terme de cette année, il est invalide ( art. 8 LPGA ) à 40 % au moins (let. c). L' art. 16 LPGA s'applique à l'évaluation de l'invalidité des assurés exerçant une activité lucrative (art. 28a al. 1, première phrase,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 art. 6 LPGA ).</w:t>
      </w:r>
    </w:p>
    <w:p>
      <w:r>
        <w:rPr>
          <w:b/>
        </w:rPr>
        <w:t>E. 2.2</w:t>
      </w:r>
    </w:p>
    <w:p>
      <w:r>
        <w:t>La cour cantonale a considéré que les affections de nature somatique (status après déchirure de l'épaule droite, ainsi qu'après lésion partielle du LCA et lésion du LLI) entraînent une incapacité entière de travail dans l'ancienne activité de technicien en ascenseurs. Cependant, la capacité de l'assuré est entière dans une activité adaptée, par exemple dans la production industrielle légère ou dans le domaine des services, à plein temps, mais avec les restrictions suivantes: pas de déplacements sur un sol instable ou sur un échafaudage, pas de travail nécessitant l'ascension ou la descente d'échelles, pas de port de charges de plus de 10 kg, pas de mouvement du membre supérieur droit au-dessus de 90°. Quant au trouble anxieux et dépressif mixte (F41.2) diagnostiqué par les médecins de E.________ mandatés par l'office AI (rapport du 11 juin 2009), il est peu symptomatique et n'entraîne pas une diminution de la capacité de travail.</w:t>
      </w:r>
    </w:p>
    <w:p>
      <w:r>
        <w:rPr>
          <w:b/>
        </w:rPr>
        <w:t>E. 3.1</w:t>
      </w:r>
    </w:p>
    <w:p>
      <w:r>
        <w:t>Par un premier moyen de nature formelle, le recourant invoque une violation de son droit d'être entendu. Il reproche à la juridiction cantonale de lui avoir refusé l'accès au dossier intégral constitué par les médecins de E.________, en particulier les notes internes ("pense-bête") de l'expert psychiatre dont il conteste la conclusion selon laquelle il avait adopté une position revendicatrice. Il allègue qu'au surplus, le refus de donner accès aux notes internes de ce médecin constitue une violation des art. 8 al. 2 lit a et 9 de la loi fédérale sur la protection des données (LPD [RS 235.1]).</w:t>
      </w:r>
    </w:p>
    <w:p>
      <w:r>
        <w:rPr>
          <w:b/>
        </w:rPr>
        <w:t>E. 3.2</w:t>
      </w:r>
    </w:p>
    <w:p>
      <w:r>
        <w:t>Le droit de consulter le dossier est un aspect du droit d'être entendu garanti par l' art. 29 al. 2 Cst. ( ATF 132 II 485 consid. 3.2 p. 494). Il est notamment concrétisé à l' art. 56 al. 1 LTF , selon lequel les parties ont le droit d'assister à l'administration des preuves et de prendre connaissance des pièces produites. Le droit de consulter le dossier s'étend à toutes les pièces décisives figurant au dossier et garantit que les parties puissent prendre connaissance des éléments fondant la décision et s'exprimer à leur sujet ( ATF 132 II 485 consid. 3.2 p. 494; 129 I 85 consid. 4.1 p. 88; 125 II 473 consid. 4c/cc p. 478; 121 I 225 consid. 2a p. 227). L' art. 29 al. 2 Cst. ne confère toutefois pas le droit de prendre connaissance de documents purement internes qui sont destinés à la formation de l'opinion et qui n'ont pas le caractère de preuves ( ATF 129 V 472 consid. 4.2.2 p. 478; 125 II 473 consid. 4a p. 474; 115 V 297 consid. 2g/aa p. 303). C'est pourquoi, dans le cadre d'une expertise, il n'existe pas non plus un droit de consulter les notes internes destinées à la formation de l'opinion de l'expert ni, en général, les documents de travail préparatoires de l'expertise, comme les instruments destinés à établir une expertise, à savoir notamment les annotations concernant des résultats de tests ou d'autres observations (voir NIKLAUS SCHMID, Einige Aspekte der naturwissenschaftlichen Gutachten aus der Sicht der Schweizerischen Strafprozessordnung, in: AJP/PJA 2010 p. 819 ss, p. 826). Cependant, un tribunal peut être tenu d'autoriser la consultation de tels documents lorsque cela paraît nécessaire dans le cas concret pour examiner les fondements et les conclusions d'un rapport d'expertise (cf. arrêts 9C_591/2010 du 20 décembre 2010 consid. 5.1.2, in: SVR 2011 IV n° 47 p. 143; 1P.714/2006 du 13 mars 2007 consid. 2.2 s.; 1P.544/2003 du 12 novembre 2003 consid. 5.3 et les références; arrêt du Tribunal fédéral des assurances U 72/91 du 27 juillet 1992 consid. 3c).</w:t>
      </w:r>
    </w:p>
    <w:p>
      <w:r>
        <w:rPr>
          <w:b/>
        </w:rPr>
        <w:t>E. 3.3</w:t>
      </w:r>
    </w:p>
    <w:p>
      <w:r>
        <w:t>En l'espèce, on peut se demander si le grief soulevé - qui ne comporte pas un exposé substantiel à propos du droit constitutionnel invoqué - est suffisamment motivé au regard des exigences de motivation accrues déduites de l' art. 106 al. 2 LTF . En tout état de cause, les notes internes de l'expert psychiatre de E.________ constituent incontestablement des documents de travail internes destinés uniquement à la formation de l'opinion de l'expert. Au demeurant, le recourant n'indique pas que ces pièces sont en mains de l'office AI. Aussi, ne pouvait-il pas invoquer le droit de consulter le dossier pour exiger de prendre connaissance des notes internes de l'expert psychiatre. Quant au point de savoir si l'intéressé peut se fonder sur les règles relatives à la protection des données de la LPD pour faire valoir son droit d'accès à ses données personnelles en mains de E.________, il n'a pas à être tranché dans la présente procédure.</w:t>
      </w:r>
    </w:p>
    <w:p>
      <w:r>
        <w:rPr>
          <w:b/>
        </w:rPr>
        <w:t>E. 4.1</w:t>
      </w:r>
    </w:p>
    <w:p>
      <w:r>
        <w:t>Par un deuxième moyen, le recourant invoque une violation de l' art. 43 LPGA par la cour cantonale, à laquelle il reproche d'avoir rejeté ses objections quant à la valeur probante des conclusions de l'expert psychiatre de E.________. Il fait valoir que cet expert n'a pas assumé correctement sa tâche en renonçant à mettre en oeuvre des tests psychologiques sans mentionner les motifs de cette renonciation.</w:t>
      </w:r>
    </w:p>
    <w:p>
      <w:r>
        <w:rPr>
          <w:b/>
        </w:rPr>
        <w:t>E. 4.2</w:t>
      </w:r>
    </w:p>
    <w:p>
      <w:r>
        <w:t>Selon le principe de la libre appréciation des preuves, le juge apprécie librement les preuves médicales qu'il a recueillies, sans être lié par des règles formelles, en procédant à une appréciation complète et rigoureuse des preuves.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 ATF 125 V 351 consid. 3a p. 352; 122 V 157 consid. 1c p. 160 et les références).</w:t>
      </w:r>
    </w:p>
    <w:p>
      <w:r>
        <w:rPr>
          <w:b/>
        </w:rPr>
        <w:t>E. 4.3</w:t>
      </w:r>
    </w:p>
    <w:p>
      <w:r>
        <w:t>En l'espèce, le docteur F.________, spécialiste en psychiatrie et psychothérapie et médecin auprès de E.________, a posé le diagnostic de trouble anxieux et dépressif mixte (F41.2 dans CIM-10). Il a indiqué que ce trouble n'entraînait aucune limitation (qualitative et quantitative) sur la capacité de travail. En effet, parmi les éléments caractéristiques de la dépression susceptibles de diminuer la capacité de travail (diminution de l'énergie, diminution de la volonté, ralentissement idéomoteur, troubles de la concentration et troubles de la mémoire), aucun d'entre eux n'était en l'occurrence suffisamment marqué pour entraîner une diminution de l'aptitude au travail. Quant à l'angoisse, qui est marquée et accompagnée par intermittence par des symptômes neurovégétatifs (légers tremblements), elle n'est pas à l'origine d'une incapacité de travail. Il en va de même pour ce qui est des ressources cognitives modestes, des difficultés de raisonnement logique, de la mémoire visuelle et auditive déficitaires, ainsi que des lacunes scolaires. Par ailleurs, l'expert a attesté l'existence d'une majoration des symptômes physiques en relation avec l'épaule droite, ce qui ne constitue toutefois pas une affection incapacitante. Sur le vu de ce rapport d'expertise, les critiques du recourant quant à sa valeur probante n'apparaissent pas justifiées. Ce rapport satisfait pleinement aux exigences posées par la jurisprudence en ce qui concerne tant l'anamnèse et la prise en considération des plaintes exprimées, que la description du contexte médical et l'appréciation de la situation médicale. Par ailleurs, l'expert psychiatre a appliqué les critères CIM-10 pour vérifier la présence ou l'absence d'un épisode dépressif, de sorte que le grief du recourant apparaît en grande partie injustifié, si tant est que l'on sache ce qu'il entend en déduire. Au demeurant, c'est à l'expert lui-même, et non à la personne expertisée, de déterminer quelle sont les méthodes d'investigation les plus opportunes dans le cadre du mandat d'expertise qui lui est confié (cf. par ex. art. 49 al. 1 RAI ). Au demeurant, la jurisprudence considère que les tests psychologiques ne sont à considérer que comme un complément d'examen clinique lorsqu'il s'agit de déterminer la capacité de travail dans le domaine de l'assurance-invalidité (arrêt I 117/07 du 28 février 2008; arrêt du Tribunal fédéral des assurances I 145/06 du 6 septembre 2006 consid. 4.2). Le grief du recourant quant à la valeur probante des conclusions de l'expert psychiatre de E.________ se révèle ainsi mal fondé et il n'est pas nécessaire d'ordonner un complément d'instruction médicale, comme le demande l'intéressé.</w:t>
      </w:r>
    </w:p>
    <w:p>
      <w:r>
        <w:rPr>
          <w:b/>
        </w:rPr>
        <w:t>E. 5</w:t>
      </w:r>
    </w:p>
    <w:p>
      <w:r>
        <w:t>Par un troisième moyen, le recourant invoque une violation de l' art. 28 al. 1 LAI par la cour cantonale, à laquelle il reproche d'avoir confirmé la décision de l'office AI de refus d'une rente, sans qu'il ait pu bénéficier d'une mesure de réinsertion professionnelle. En l'espèce, l'office AI a mis en oeuvre une mesure d'orientation professionnelle, à l'issue de laquelle la conseillère en réadaptation a indiqué qu'une formation n'était pas envisageable en raison de ressources cognitives modestes, de difficultés de raisonnement logique, d'une mémoire visuelle et auditive déficitaire, ainsi que de lacunes scolaires (rapports intermédiaires sur la réadaptation professionnelle des 11 et 20 novembre 2008). En revanche, le recourant s'est vu accorder une aide au placement au sens de l' art. 18 LAI . Dans son recours en matière de droit public, l'intéressé ne fait toutefois valoir aucun argument tendant à mettre en cause les motifs qui ont conduit au refus d'une mesure de reclassement dans une nouvelle profession. Faute d'exposer au moins succinctement en quoi l'acte attaqué viole le droit sur ce point, le grief invoqué n'apparaît dès lors pas admissible (cf. art. 42 al. 1 et 2 LTF ).</w:t>
      </w:r>
    </w:p>
    <w:p>
      <w:r>
        <w:rPr>
          <w:b/>
        </w:rPr>
        <w:t>E. 6</w:t>
      </w:r>
    </w:p>
    <w:p>
      <w:r>
        <w:t>Il n'y a pas de motif de déroger à l' art. 102 al. 3 LTF , de sorte que la requête du recourant tendant à ce qu'il soit procédé à un second échange d'écritures doit être rejetée. Au demeurant, l'intéressé n'a pas exercé son droit de réplique après notification de la réponse de l'office AI. A cet égard, il convient de relever que l'autorité judiciaire n'a pas l'obligation d'impartir un délai pour déposer d'éventuelles observations sur une pièce nouvelle à la partie qui est représentée par un avocat (arrêt 2C_560/2012 du 21 janvier 2013 consid. 4.4).</w:t>
      </w:r>
    </w:p>
    <w:p>
      <w:r>
        <w:rPr>
          <w:b/>
        </w:rPr>
        <w:t>E. 7</w:t>
      </w:r>
    </w:p>
    <w:p>
      <w:r>
        <w:t>Vu ce qui précède, le jugement attaqué n'est pas critiquable et le recours se révèle mal fondé.</w:t>
      </w:r>
    </w:p>
    <w:p>
      <w:r>
        <w:rPr>
          <w:b/>
        </w:rPr>
        <w:t>E. 8</w:t>
      </w:r>
    </w:p>
    <w:p>
      <w:r>
        <w:t>Les conclusions du recourant étant d'emblée vouées à l'échec, la demande d'assistance judiciaire doit être rejetée ( art. 64 al. 1 et 2 LTF ) et l'intéressé,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