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658/2017 vom 23. Februar 2018</w:t>
      </w:r>
    </w:p>
    <w:p>
      <w:r>
        <w:t>Bundesgericht, 2018-02-23, DE</w:t>
      </w:r>
    </w:p>
    <w:p>
      <w:r>
        <w:rPr>
          <w:b/>
        </w:rPr>
        <w:t xml:space="preserve">Quelle: </w:t>
      </w:r>
      <w:r>
        <w:t>https://mcp.opencaselaw.ch/entscheid/bger_8C_658_2017</w:t>
      </w:r>
    </w:p>
    <w:p>
      <w:r>
        <w:t>FR: TF 8C 658/2017 du 23 février 2018</w:t>
      </w:r>
    </w:p>
    <w:p>
      <w:r>
        <w:t>IT: TF 8C 658/2017 del 23 febbraio 2018</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Streitig und zu prüfen ist, ob die vorinstanzliche Aufhebung der Verfügung der IV-Stelle mit der Begründung, dass die Voraussetzungen für eine prozessuale Revision nicht erfüllt seien, vor Bundesrecht standhält.</w:t>
      </w:r>
    </w:p>
    <w:p>
      <w:r>
        <w:rPr>
          <w:b/>
        </w:rPr>
        <w:t>E. 3</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(sogenannte prozessuale Revision). Nach Lehre und Rechtsprechung ist der Sozialversicherungsträger verpflichtet, auf eine formell rechtskräftige Verfügung zurückzukommen, wenn sich diese aufgrund neuentdeckter Tatsachen oder Beweismittel als unrichtig erweist ( BGE 143 V 105 E. 2.1 S. 106 f.; 108 V 167 E. 2b S. 168). Der Begriff "neue Tatsachen oder Beweismittel" ist bei der prozessualen Revision eines Verwaltungsentscheides nach Art. 53 Abs. 1 ATSG gleich auszulegen wie bei der Revision eines kantonalen Gerichtsentscheides gemäss Art. 61 lit. i ATSG oder bei der Revision eines Bundesgerichtsurteils gemäss Art. 123 Abs. 2 lit. a BGG .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andern Entscheidung zu führen ( BGE 143 V 105 E. 2.3 S. 107 f.; SVR 2012 UV Nr. 17 S. 63, 8C_434/2011 E. 7.1).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jedoch dann in Betracht, wenn bereits im ursprünglichen Verfahren der untersuchende Arzt und die entscheidende Behörde das Ermessen wegen eines neu erhobenen Befundes zwingend anders hätten ausüben und infolgedessen zu einem anderen Ergebnis hätten gelangen müssen (Urteil 8C_18/2013 vom 23. April 2013 E. 3.1).</w:t>
      </w:r>
    </w:p>
    <w:p>
      <w:r>
        <w:rPr>
          <w:b/>
        </w:rPr>
        <w:t>E. 4</w:t>
      </w:r>
    </w:p>
    <w:p>
      <w:r>
        <w:t>Das kantonale Gericht stellte fest, dass der Versicherte nebst seiner Tätigkeit beim bisherigen Arbeitgeber mit einem 50-Prozent-Pensum entsprechend der ärztlich attestieren Arbeitsfähigkeit seit Ende des Jahres 2013 ein eigenes Handelsgeschäft betrieben habe. Nach seinen eigenen Angaben sei er in seinem Geschäftslokal während rund 30 Stunden pro Woche anwesend gewesen. Eine prozessuale Revision gestützt auf Art. 53 Abs. 1 ATSG aufgrund dieser Tatsachen erachtete die Vorinstanz indessen als ausgeschlossen. Sie ging davon aus, dass die IV-Stelle davon vor Erlass ihrer ursprünglichen Rentenverfügung hätte Kenntnis erlangen können, beispielsweise mittels einer Rückfrage beim Versicherten. Zudem sei für die Bemessung der Invalidität in aller Regel nicht massgebend, wie hoch das vom Versicherten effektiv erzielte Erwerbseinkommen sei, sondern was er durch eine ihm zumutbare Tätigkeit bei ausgeglichener Arbeitsmarktlage verdienen könnte. Die Nebenerwerbstätigkeit habe für sich gesehen den Invaliditätsgrad nicht beeinflussen können und sei daher für die Beantwortung der Frage, ob die ursprüngliche leistungszusprechende Verfügung vom 24. März 2014 an einem qualifizierten Mangel im Sinne des Art. 53 Abs. 1 ATSG gelitten habe, nicht massgeblich. Dass der Versicherte neben der vollen Ausnutzung der damals von den behandelnden Ärzten und vom RAD übereinstimmend attestierten 50-prozentigen Arbeitsfähigkeit zusätzlich noch ein Handelsgeschäft betrieben habe und nach eigenen Angaben rund 30 Stunden pro Woche in seinem Geschäftslokal anwesend gewesen sei, erachtete die Vorinstanz zwar als starkes Indiz dafür, dass die der ursprünglichen Rentenverfügung zugrunde liegende Arbeitsfähigkeitsschätzung auf 50 Prozent in einer leidensangepassten Tätigkeit falsch gewesen sein könnte. Zur diesbezüglichen Überprüfung wäre jedoch eine weitergehende medizinische Abklärung unabdingbar gewesen. Selbst damit könne jedoch kein Revisionsgrund im Sinne des Art. 53 Abs. 1 ATSG gefunden werden, denn es handle sich dabei nicht um eine (sowohl für den Verfügungsadressaten als auch die verfügende Behörde) "qualifiziert neue" Tatsache. Es stehe der IV-Stelle frei, weitere medizinische Abklärungen zu veranlassen und die ursprüngliche Rentenverfügung gestützt darauf allenfalls nach Art. 53 Abs. 2 ATSG in Wiedererwägung zu ziehen.</w:t>
      </w:r>
    </w:p>
    <w:p>
      <w:r>
        <w:rPr>
          <w:b/>
        </w:rPr>
        <w:t>E. 5.1</w:t>
      </w:r>
    </w:p>
    <w:p>
      <w:r>
        <w:t>Die vorinstanzliche Schlussfolgerung, dass die Voraussetzungen für eine prozessuale Revision nach Art. 53 Abs. 1 ATSG nicht erfüllt seien, obwohl die der Rentenverfügung vom 24. März 2014 zugrunde liegende übereinstimmende ärztliche Bescheinigung einer 50-prozentigen Arbeitsunfähigkeit unter Berücksichtigung der subjektiven Angaben des Beschwerdeführers, er könne sein Pensum nicht steigern, aber ohne Kenntnis der tatsächlich in beträchtlichem Umfang ausgeübten Nebenerwerbstätigkeit erfolgt ist, erweist sich als bundesrechtswidrig. Vorliegend beruhten die Einschätzungen der Arbeitsfähigkeit auf einer falschen Tatsachengrundlage betreffend das ausgeübte und damit zumutbare Tätigkeitsfeld. Die fehlende Kenntnis der Ärzte und der IV-Stelle über die Tätigkeit des Beschwerdegegners in seinem Handelsgeschäft lässt die ursprünglich getätigte - massgeblich von den subjektiven Schilderungen des Versicherten geleitete - medizinische Einschätzung zur Restarbeitsfähigkeit als erheblich mangelhaft erscheinen. Die Voraussetzungen für eine prozessuale Revision im Sinne von Art. 53 Abs. 1 ATSG sind nach der bundesgerichtlichen Praxis insbesondere dann gegeben, wenn dem Arzt beziehungsweise der IV-Stelle, die auf seinen Bericht abstellt, eine vom Versicherten tatsächlich ausgeübte Aktivität verborgen geblieben ist (Urteil 8C_18/2013 vom 23. April 2013 E. 3.1). Entgegen den vorinstanzlichen Präzisierungen zum angefochtenen Entscheid in der Vernehmlassung ist nach dem klaren Wortlaut von Art. 53 Abs. 1 ATSG nicht erforderlich, dass die neue Tatsache sowohl für die verfügende Behörde als auch für den Verfügungsadressaten neu sein muss. Es stand der IV-Stelle daher nicht frei, die Arbeitsfähigkeit weiter abzuklären und die Rentenverfügung gegebenenfalls gestützt auf Art. 53 Abs. 2 ATSG in Wiedererwägung zu ziehen. Da die Verfügung vom 24. März 2014 wegen fehlender Kenntnis auf einer falschen Tatsachengrundlage betreffend das ausgeübte Arbeitspensum beruhte und diese neu entdeckte Tatsache geeignet ist, bei zutreffender rechtlicher Würdigung zu einer andern Entscheidung zu führen, war die IV-Stelle nach Art. 53 Abs. 1 ATSG vielmehr verpflichtet, sie einer Revision zu unterziehen. Der Vorinstanz ist jedoch insoweit beizupflichten, als die blosse Anwesenheit im Ladenlokal allein nicht auf die zumutbare (volle) Arbeitsfähigkeit in einer leidensangepassten Tätigkeit schliessen lässt, sondern dass dazu eine weitergehende medizinische Abklärung unabdingbar ist. Die Sache ist zu diesem Zweck an die IV-Stelle zurückzuweisen. Gestützt darauf wird sie über den Rentenanspruch neu zu befinden haben.</w:t>
      </w:r>
    </w:p>
    <w:p>
      <w:r>
        <w:rPr>
          <w:b/>
        </w:rPr>
        <w:t>E. 5.2</w:t>
      </w:r>
    </w:p>
    <w:p>
      <w:r>
        <w:t>Die übrigen Revisionsvoraussetzungen sind nicht streitig. Sie geben keinen Anlass zu Weiterungen.</w:t>
      </w:r>
    </w:p>
    <w:p>
      <w:r>
        <w:rPr>
          <w:b/>
        </w:rPr>
        <w:t>E. 6</w:t>
      </w:r>
    </w:p>
    <w:p>
      <w:r>
        <w:t>Das Verfahren ist kostenpflichtig ( Art. 65 BGG ). Die Rückweisung der Sache an das kantonale Gericht oder an den Versicherungsträger zur erneuten Abklärung (mit noch offenem Ausgang) gilt praxisgemäss für die Frage der Auferlegung der Gerichtskosten als volles Obsiegen im Sinne von Art. 66 Abs. 1 sowie Art. 68 Abs. 1 und 2 BGG ( BGE 132 V 215 E. 6.1 S. 235; Urteil 8C_715/2016 vom 6. März 2017 E. 6). Die Gerichtskosten werden daher dem unterliegenden Beschwerdegegner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