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8C_655/2025 vom 17. November 2025</w:t>
      </w:r>
    </w:p>
    <w:p>
      <w:r>
        <w:t>Bundesgericht, 2025-11-17, DE</w:t>
      </w:r>
    </w:p>
    <w:p>
      <w:r>
        <w:rPr>
          <w:b/>
        </w:rPr>
        <w:t xml:space="preserve">Quelle: </w:t>
      </w:r>
      <w:r>
        <w:t>https://mcp.opencaselaw.ch/entscheid/bger_8C_655_2025</w:t>
      </w:r>
    </w:p>
    <w:p>
      <w:r>
        <w:t>FR: TF 8C_655/2025 du 17 novembre 2025</w:t>
      </w:r>
    </w:p>
    <w:p>
      <w:r>
        <w:t>IT: TF 8C_655/2025 del 17 novembre 2025</w:t>
      </w:r>
    </w:p>
    <w:p>
      <w:pPr>
        <w:pStyle w:val="Heading2"/>
      </w:pPr>
      <w:r>
        <w:t>Erwägungen</w:t>
      </w:r>
    </w:p>
    <w:p>
      <w:r>
        <w:rPr>
          <w:b/>
        </w:rPr>
        <w:t>E. 1</w:t>
      </w:r>
    </w:p>
    <w:p>
      <w:r>
        <w:t>In der angefochtenen Verfügung vom 2. Oktober 2025 wies das kantonale Gericht das Gesuch des Beschwerdeführers um Sistierung des gegen den Einspracheentscheid der Beschwerdegegnerin vom 11. Juni 2025 erhobenen Beschwerdeverfahrens ab.</w:t>
      </w:r>
    </w:p>
    <w:p>
      <w:r>
        <w:rPr>
          <w:b/>
        </w:rPr>
        <w:t>E. 2.1</w:t>
      </w:r>
    </w:p>
    <w:p>
      <w:r>
        <w:t>Solche Zwischenverfügungen können vor Bundesgericht selbstständig nur angefochten werden, wenn der Entscheid einen nicht wieder gutzumachenden Nachteil bewirken kann ( Art. 93 Abs. 1 lit. a BGG ; SVR 2015 ALV Nr. 9 S. 25, E. 5.2 [Urteil 8C_581/2014 vom 16. März 2015] mit Hinweis u.a. auf BGE 137 III 522 ).</w:t>
      </w:r>
    </w:p>
    <w:p>
      <w:r>
        <w:rPr>
          <w:b/>
        </w:rPr>
        <w:t>E. 2.2</w:t>
      </w:r>
    </w:p>
    <w:p>
      <w:r>
        <w:t>Ein nicht wieder gutzumachender Nachteil im Sinne von Art. 93 Abs. 1 lit. a BGG muss rechtlicher Natur sein, was voraussetzt, dass er durch einen späteren günstigen Entscheid nicht oder nicht mehr vollständig behoben werden kann ( BGE 149 II 170 E. 1.3 mit Hinweisen); rein tatsächliche Nachteile wie die Verlängerung oder Verteuerung des Verfahrens reichen nicht aus ( BGE 149 II 170 E. 1.3; 148 IV 155 E. 1.1; 142 III 798 E. 2.2; 141 III 80 E. 1.2; 138 III 190 E. 6; 137 III 380 E. 1.2.1 mit Hinweisen). Inwiefern die angefochtene Verfügung einen solchen nicht wieder gutzumachenden Nachteil bewirken kann, ist in der Beschwerdeschrift darzutun (vgl. BGE 141 III 80 E. 1.2; 141 IV 289 E. 1.3; je mit Hinweisen).</w:t>
      </w:r>
    </w:p>
    <w:p>
      <w:r>
        <w:rPr>
          <w:b/>
        </w:rPr>
        <w:t>E. 3</w:t>
      </w:r>
    </w:p>
    <w:p>
      <w:r>
        <w:t>Der Beschwerdeführer legt nicht hinreichend dar, inwiefern ihm durch die angefochtene Verfügung ein rechtlich nicht wieder gutzumachender Nachteil droht. Ein solcher ist auch nicht ersichtlich.</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