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8C_655/2024 vom 15. November 2024</w:t>
      </w:r>
    </w:p>
    <w:p>
      <w:r>
        <w:t>Bundesgericht, 2024-11-15, DE</w:t>
      </w:r>
    </w:p>
    <w:p>
      <w:r>
        <w:rPr>
          <w:b/>
        </w:rPr>
        <w:t xml:space="preserve">Quelle: </w:t>
      </w:r>
      <w:r>
        <w:t>https://mcp.opencaselaw.ch/entscheid/bger_8C_655_2024</w:t>
      </w:r>
    </w:p>
    <w:p>
      <w:r>
        <w:t>FR: TF 8C_655/2024 du 15 novembre 2024</w:t>
      </w:r>
    </w:p>
    <w:p>
      <w:r>
        <w:t>IT: TF 8C_655/2024 del 15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Hinsichtlich der Verletzung von Grundrechten gilt eine qualifizierte Rügepflicht. Demnach ist anhand der Erwägungen des angefochtenen Urteils klar und detailliert darzulegen, welche verfassungsmässigen Rechte und inwiefern sie durch dieses Urteil verletzt sein sollen ( Art. 106 Abs. 2 BGG ); BGE 145 V 304 E. 1.2; 140 III 86 E. 2; 135 V 94 E. 1; je mit Hinweisen).</w:t>
      </w:r>
    </w:p>
    <w:p>
      <w:r>
        <w:rPr>
          <w:b/>
        </w:rPr>
        <w:t>E. 2</w:t>
      </w:r>
    </w:p>
    <w:p>
      <w:r>
        <w:t>Die Vorinstanz gelangte im Urteil vom 27. November 2024 in Auseinandersetzung mit den Parteivorbringen und in Würdigung der Akten zur Überzeugung, die Beschwerdegegnerin habe das Gesuch des Beschwerdeführers vom 29. Januar 2024 um Arbeitslosenversicherungsleistungen abweisen dürfen. Dies begründete sie damit, dass der Beschwerdeführer die gemäss Art. 8 in Verbindung mit Art. 13 f. AVIG dafür geforderte Beitragszeit von mindestens zwölf Monaten in der massgeblichen Rahmenfrist vom 29. Januar 2022 bis 28. Januar 2024 nicht erfüllt habe. Insbesondere könne die vom 1. Juni bis 31. August 2022 bei der B.________ AG ausgeübte Tätigkeit, weil von der öffentlichen Hand als arbeitsmarktliche Massnahme im Sinne von Art. 23 Abs. 3bis erster Satz AVIG finanziert, nicht als beitragspflichtige und damit anrechenbare Beschäftigung im Sinne von Art. 13 Abs. 1 AVIG betrachtet werden. Dabei setzte sich das kantonale Gericht auch mit dem Einwand des Beschwerdeführers auseinander, er sei vor Antritt dieser Integrationsmassnahme nicht ausdrücklich auf deren fehlende Anrechenbarkeit als Beitragszeit hingewiesen worden.</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Allein zu beanstanden, vor Antritt der arbeitsmarklichen Massnahme nicht umfassend über deren rechtliche Einordnung informiert worden zu sein, und dabei das bereits vor Vorinstanz Vorgetragene zu wiederholen, reicht nicht aus. Inwiefern die entsprechenden vorinstanzlichen Erwägungen rechtsfehlerhaft sein sollen, ist damit nicht dargetan. Die Vorbringen gehen insgesamt nicht über eine letztinstanzlich unzulässige appellatorische Kritik hinaus. Soweit darüber hinaus eine Altersdiskriminierung ( Art. 8 Abs. 2 BV ) angerufen wird, besteht ohnehin eine qualifizierte Begründungspflicht, welcher vorliegend nicht ansatzwiese genügt wird (E. 1 in fine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