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8C_655/2015 vom 4. November 2015</w:t>
      </w:r>
    </w:p>
    <w:p>
      <w:r>
        <w:t>Bundesgericht, 2015-11-04, DE</w:t>
      </w:r>
    </w:p>
    <w:p>
      <w:r>
        <w:rPr>
          <w:b/>
        </w:rPr>
        <w:t xml:space="preserve">Quelle: </w:t>
      </w:r>
      <w:r>
        <w:t>https://mcp.opencaselaw.ch/entscheid/bger_8C_655_2015</w:t>
      </w:r>
    </w:p>
    <w:p>
      <w:r>
        <w:t>FR: TF 8C_655/2015 du 4 novembre 2015</w:t>
      </w:r>
    </w:p>
    <w:p>
      <w:r>
        <w:t>IT: TF 8C_655/2015 del 4 novembre 2015</w:t>
      </w:r>
    </w:p>
    <w:p>
      <w:pPr>
        <w:pStyle w:val="Heading2"/>
      </w:pPr>
      <w:r>
        <w:t>Erwägungen</w:t>
      </w:r>
    </w:p>
    <w:p>
      <w:r>
        <w:rPr>
          <w:b/>
        </w:rPr>
        <w:t>E. 1</w:t>
      </w:r>
    </w:p>
    <w:p>
      <w:r>
        <w:t>Da den vom AMA (Verfahren 8C_655/2015) und vom Versicherten (Verfahren 8C_656/2015 und 8C_657/2015) erhobenen Beschwerden derselbe Sachverhalt zugrunde liegt (Arbeitsbemühungen vor und nach Eintritt der Arbeitslosigkeit), sie das nämliche Rechtsverhältnis betreffen (Entschädigungspflicht bei Arbeitslosigkeit) und sich gegen diesbezügliche Entscheide gleichen Datums (3. August 2015) mit identischen Rechtsfragen (Erfüllung eines Einstellungstatbestandes resp. Einstellungsdauer) richten, rechtfertigt es sich, die drei Verfahren 8C_655/2015, 8C_656/2015 und 8C_657/2015 zu vereinigen und in einem einzigen Urteil zu erledigen (vgl. BGE 131 V 59 E. 1 S. 60 f., 128 V 124 E. 1 S. 126 und 192 E. 1 S. 194; je mit Hinweisen).</w:t>
      </w:r>
    </w:p>
    <w:p>
      <w:r>
        <w:rPr>
          <w:b/>
        </w:rPr>
        <w:t>E. 2.1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2.2</w:t>
      </w:r>
    </w:p>
    <w:p>
      <w:r>
        <w:t>Mit Blick auf diese Kognitionsregelung ist aufgrund der Vorbringen in den Beschwerden ans Bundesgericht zu prüfen, ob die angefochtenen Gerichtsentscheide in der Anwendung der massgeblichen materiell- und beweisrechtlichen Grundlagen unter anderem Bundesrecht verletzen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(vgl. dazu nachstehende E. 3.1).</w:t>
      </w:r>
    </w:p>
    <w:p>
      <w:r>
        <w:rPr>
          <w:b/>
        </w:rPr>
        <w:t>E. 2.3</w:t>
      </w:r>
    </w:p>
    <w:p>
      <w:r>
        <w:t>Die Beschwerde in öffentlich-rechtlichen Angelegenheiten muss gemäss Art. 42 Abs. 1 und 2 BGG unter anderem die Begehren und deren Begründung enthalten, wobei in der Begründung in gedrängter Form darzulegen ist, inwiefern der angefochtene Entscheid Recht verletzt; dies setzt voraus, dass sich die Beschwerde führende Partei konkret mit den Erwägungen im angefochtenen Entscheid auseinandersetzt ( BGE 140 III 86 E. 2 S. 88 und 134 II 244 E. 2.1 f. S. 245 f.).</w:t>
      </w:r>
    </w:p>
    <w:p>
      <w:r>
        <w:rPr>
          <w:b/>
        </w:rPr>
        <w:t>E. 3</w:t>
      </w:r>
    </w:p>
    <w:p>
      <w:r>
        <w:t>Das AMA wehrt sich in seiner Beschwerde gegen die im angefochtenen vorinstanzlichen Entscheid vom 3. August 2015 vorgenommene Kürzung der in den Einspracheentscheiden vom 14. Februar 2014 noch bestätigten, am 2. Juli 2013 - im Rahmen leichten Verschuldens ( Art. 45 Abs. 3 lit. a AVIV ) - ursprünglich verfügten Einstellungsdauer von je 12 auf je 8 Tage.</w:t>
      </w:r>
    </w:p>
    <w:p>
      <w:r>
        <w:rPr>
          <w:b/>
        </w:rPr>
        <w:t>E. 3.1</w:t>
      </w:r>
    </w:p>
    <w:p>
      <w:r>
        <w:t>Die Festsetzung der Dauer einer Einstellung in der Anspruchsberechtigung wegen ungenügender Arbeitsbemühungen - während der Arbeitslosigkeit ( Art. 30 Abs. 1 lit. c AVIG ) wie schon vor deren Eintritt (vgl. ARV 2003 Nr. 10 S. 119 E. 1 in fine, mit Hinweisen) - stellt eine typische Ermessensfrage dar, was auch die Beschwerde führende Amtsstelle anerkennt. Deren Überprüfung in einem nachfolgenden Rechtsmittelverfahren vor Bundesgericht (vgl. E. 2.2 hievor) beschränkt sich auf die Frage, ob das Ermessen rechtsfehlerhaft ausgeübt worden ist, also Ermessensmissbrauch oder Ermessensüber- resp. -unterschreitung vorliegt ( BGE 131 V 153 E. 6.2 S. 158).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(vgl. BGE 123 V 150 E. 2 S. 152 mit Hinweisen). Ermessensüberschreitung liegt dagegen vor, wenn eine Behörde Ermessen walten lässt, wo ihr das Gesetz keines einräumt, oder wo sie statt von zwei zulässigen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116 V 307 E. 2 S. 310; in BGE 139 V 164 nicht publizierte E. 4.2 des Urteils 8C_601/2012 vom 26. Februar 2013).</w:t>
      </w:r>
    </w:p>
    <w:p>
      <w:r>
        <w:rPr>
          <w:b/>
        </w:rPr>
        <w:t>E. 3.2</w:t>
      </w:r>
    </w:p>
    <w:p>
      <w:r>
        <w:t>Etwas Derartiges wird in den von der kantonalen Amtsstelle erhobenen Beschwerde ans Bundesgericht zwar behauptet, aber nicht mit genügender Begründung näher dargelegt. Sämtliche Ausführungen in der Beschwerdeschrift lassen nicht erkennen, inwiefern die Vorinstanz ihr Ermessen rechtsfehlerhaft ausgeübt haben sollte. Eine Willkürrüge jedenfalls ist nicht erhoben worden. Das AMA begnügt sich im Ergebnis vielmehr damit, nach ausführlicher - an sich unbestrittener - Sachverhaltswiedergabe und Darstellung der nach Gesetz und Rechtsprechung zu beachtenden Entscheidungsgrundlagen aufzuzeigen, wie die Einstellungsdauer seiner Ansicht nach hätte ausfallen sollen. Als rechtsgenügliche Beschwerdebegründung reicht dies nicht. Ergreift eine Partei ein Rechtsmittel, ist zu erwarten, dass sie zumindest klar angibt, in welchem behördlichen Verhalten sie welchen Beschwerdegrund erblicken will. Bei Anfechtung eines Ermessensentscheides müsste sie daher in ihrer Rechtsschrift ausdrücklich auf eine der in vorstehender E. 3.1 erwähnten Rügemöglichkeiten (Ermessensmissbrauch, Ermessensüber- oder -unterschreitung) Bezug nehmen, was nicht geschehen ist. Auch dass und inwiefern die Vorinstanz mit ihrer Herabsetzung der Einstellungsdauer sonst wie Bundesrecht verletzt hätte oder von einem offensichtlich unrichtig festgestellten Sachverhalt ausgegangen wäre (vgl. E. 2.1 hievor), wird nicht aufgezeigt. Unter diesen Umständen ist auf die Beschwerde des AMA nicht einzutreten.</w:t>
      </w:r>
    </w:p>
    <w:p>
      <w:r>
        <w:rPr>
          <w:b/>
        </w:rPr>
        <w:t>E. 3.3</w:t>
      </w:r>
    </w:p>
    <w:p>
      <w:r>
        <w:t>Der Versicherte selbst beanstandet ebenfalls die Dauer der Einstellung in der Anspruchsberechtigung, ohne jedoch darzulegen inwiefern das kantonale Gericht Bundesrecht verletzt haben sollte oder auf einen qualifiziert unrichtigen Sachverhalt abgestellt hätte (vgl. E. 2.1 hievor). Soweit er mit seinem Antrag auf vollständige Aufhebung der zur Diskussion stehenden Einstellungen die Erfüllung eines Einstellungstatbestandes an sich sollte in Abrede stellen wollen, fehlt dazu ebenfalls jegliche Begründung. Auf seine Beschwerde, die sich sowohl gegen den kantonalen Entscheid vom 3. August 2015 betreffend Einstellung in der Anspruchsberechtigung wegen ungenügender Arbeitsbemühungen während der Arbeitslosigkeit wie auch denjenigen betreffend Einstellung wegen ungenügender Arbeitsbemühungen vor Eintritt derselben richtet, wird daher ebenfalls nicht eingetreten.</w:t>
      </w:r>
    </w:p>
    <w:p>
      <w:r>
        <w:rPr>
          <w:b/>
        </w:rPr>
        <w:t>E. 4</w:t>
      </w:r>
    </w:p>
    <w:p>
      <w:r>
        <w:t>Die Verfahren wären grundsätzlich kostenpflichtig ( Art. 62 BGG ), doch sind dem in seinem amtlichen Wirkungskreis und nicht in seinem eigenen Vermögensinteresse handelnden AMA keine Gerichtskosten aufzuerlegen ( BGE 133 V 640 E. 4 S. 640 ff.; Art. 66 Abs. 4 BGG ). Umständehalber lässt es sich daher rechtfertigen, auch dem - nicht mehr anwaltlich vertretenen - Versicherten keine Gerichtskosten zu überbinden ( Art. 66 Abs. 1 BGG ). Parteientschädigungen ( Art. 68 BGG ) sind ebenfalls nicht zuzusprechen, weil es zu keinem Schriftenwechsel gekommen ist und die Parteien somit auch keine nicht auf ihr eigenes Vorgehen (Beschwerdeerhebung) zurückzuführende Auslagen zu verzeichnen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