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654/2015 vom 14. Dezember 2015</w:t>
      </w:r>
    </w:p>
    <w:p>
      <w:r>
        <w:t>Bundesgericht, 2015-12-14, DE</w:t>
      </w:r>
    </w:p>
    <w:p>
      <w:r>
        <w:rPr>
          <w:b/>
        </w:rPr>
        <w:t xml:space="preserve">Quelle: </w:t>
      </w:r>
      <w:r>
        <w:t>https://mcp.opencaselaw.ch/entscheid/bger_8C_654_2015</w:t>
      </w:r>
    </w:p>
    <w:p>
      <w:r>
        <w:t>FR: TF 8C 654/2015 du 14 décembre 2015</w:t>
      </w:r>
    </w:p>
    <w:p>
      <w:r>
        <w:t>IT: TF 8C 654/2015 del 14 dicembre 2015</w:t>
      </w:r>
    </w:p>
    <w:p>
      <w:pPr>
        <w:pStyle w:val="Heading2"/>
      </w:pPr>
      <w:r>
        <w:t>Regeste</w:t>
      </w:r>
    </w:p>
    <w:p>
      <w:r>
        <w:t>Arbeitslosenversicherung (Nebenverdienst) | Arbeitslosenversicherung</w:t>
      </w:r>
    </w:p>
    <w:p>
      <w:pPr>
        <w:pStyle w:val="Heading2"/>
      </w:pPr>
      <w:r>
        <w:t>Erwägungen</w:t>
      </w:r>
    </w:p>
    <w:p>
      <w:r>
        <w:rPr>
          <w:b/>
        </w:rPr>
        <w:t>E. 1</w:t>
      </w:r>
    </w:p>
    <w:p>
      <w:r>
        <w:t>Nachdem der einverlangte Kostenvorschuss fristgerecht geleistet worden ist und die weiteren Prozessvoraussetzungen ebenfalls erfüllt sind, kann in der Sache ein materieller Entscheid ergehen.</w:t>
      </w:r>
    </w:p>
    <w:p>
      <w:r>
        <w:rPr>
          <w:b/>
        </w:rPr>
        <w:t>E. 2.1</w:t>
      </w:r>
    </w:p>
    <w:p>
      <w:r>
        <w:t>Die Beschwerde in öffentlich-rechtlichen Angelegenheiten kann wegen Rechtsverletzung gemäss Art. 95 und Art. 96 BGG erhoben werden. Das Bundesgericht wendet das Recht von Amtes wegen an ( Art. 106 Abs. 1 BGG ).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2.3</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8C_280/2014 vom 30. Januar 2015 E. 2 mit Hinweis). Inwiefern die Voraussetzung für ein nachträgliches Vorbringen von Tatsachen und Beweismitteln erfüllt sein soll, ist in der Beschwerde darzutun ( BGE 139 III 120 E. 3.1.2 S. 123; 133 III 393 E. 3 S. 395; Urteil 8C_674/2013 vom 20. Februar 2014 E. 2.1 mit Hinweis).</w:t>
      </w:r>
    </w:p>
    <w:p>
      <w:r>
        <w:rPr>
          <w:b/>
        </w:rPr>
        <w:t>E. 3</w:t>
      </w:r>
    </w:p>
    <w:p>
      <w:r>
        <w:t>Im Streit steht einzig die Frage, ob die vom Beschwerdeführer während der Arbeitslosigkeit ausgeübte, der Kasse nicht gemeldete Lehrtätigkeit bei der Bemessung des Taggeldanspruchs als Zwischenverdienst anzurechnen ist bzw. hätte bereits ursprünglich angerechnet werden müssen. Von keiner Seite thematisiert ist die Art und Weise der Berechnung des daraus abzuleitenden Rückforderungsanspruchs. Nachfolgend ist daher allein auf das von den Parteien näher zur Diskussion Gestellte einzugehen (E. 2.1 hievor).</w:t>
      </w:r>
    </w:p>
    <w:p>
      <w:r>
        <w:rPr>
          <w:b/>
        </w:rPr>
        <w:t>E. 4</w:t>
      </w:r>
    </w:p>
    <w:p>
      <w:r>
        <w:t>Soweit eine ganz oder teilweise arbeitslose Person im Sinne von Art. 10 AVIG die weiteren Anspruchsvoraussetzungen ( Art. 8 AVIG ) erfüllt, steht ihr eine Arbeitslosenentschädigung zu. Diese wird als Taggeld ausgerichtet ( Art. 21 AVIG ). Ausgangspunkt der Taggeldbemessung ist der versicherte Verdienst ( Art. 22 AVIG ). Als versicherter Verdienst gilt der im Sinne der AHV-Gesetzgebung massgebende Lohn, der während eines Bemessungszeitraums aus einem oder mehreren Arbeitsverhältnissen normalerweise erzielt wurde ( Art. 23 Abs. 1 AVIG ). Nicht versichert ist gemäss Abs. 3 dieser Bestimmung ein Nebenverdienst. Als solcher gilt jener Verdienst, den ein Versicherter ausserhalb der normalen Arbeitszeit als Arbeitnehmer oder ausserhalb des ordentlichen Rahmens seiner selbstständigen Erwerbstätigkeit erzielt. Übt eine versicherte Person während der Arbeitslosigkeit eine selbstständige oder unselbstständige Tätigkeit aus, ist der innerhalb einer Kontrollperiode erzielte Verdienst bei der Bemessung des zu entschädigenden Verdienstausfalls als Zwischenverdienst anzurechnen, ausser es handelt sich dabei um einen Nebenverdienst im Sinne von Art. 23 Abs. 3 AVIG ( Art. 24 AVIG , insbesondere Abs. 3).</w:t>
      </w:r>
    </w:p>
    <w:p>
      <w:r>
        <w:rPr>
          <w:b/>
        </w:rPr>
        <w:t>E. 5</w:t>
      </w:r>
    </w:p>
    <w:p>
      <w:r>
        <w:t>Nach unbestrittener vorinstanzlicher Feststellung betrug die wöchentliche Arbeitszeit der am 15. Januar 2011 verlustig gegangenen Arbeitsstelle in der ersten Anstellungsperiode 33,6 und in der zweiten 21 Stunden bei einer betriebsüblichen Normalarbeitszeit von 42 Wochenstunden. Parallel dazu baute der Beschwerdeführer sich eine Lehrtätigkeit auf, die zusammen mit jener beim Verein B.________ kaum jemals den Umfang einer Vollzeitstelle überschritt, ihm aber zugleich einen Zusatzverdienst ermöglichte, der nahe jenem des Vereins B.________ lag. Diese zweite Tätigkeit führte der Beschwerdeführer nach Eintritt der Arbeitslosigkeit in weitgehend unverändertem Umfang weiter aus.</w:t>
      </w:r>
    </w:p>
    <w:p>
      <w:r>
        <w:rPr>
          <w:b/>
        </w:rPr>
        <w:t>E. 5.1</w:t>
      </w:r>
    </w:p>
    <w:p>
      <w:r>
        <w:t>Wenn die Vorinstanz angesichts dieser unwidersprochen gebliebenen Feststellungen das bei dieser Lehrtätigkeit erwirtschaftete Entgelt bei der Taggeldberechnung als Zwischenverdienst im Sinne von Art. 24 AVIG berücksichtigt hat, lässt sich dies nicht beanstanden. Von Nebeneinkünften im Sinne von Art. 23 Abs. 3 AVIG kann nicht die Rede sein. Vielmehr ist von einer zweiten Erwerbsquelle im Sinne von Art. 23 Abs. 1 AVIG auszugehen.</w:t>
      </w:r>
    </w:p>
    <w:p>
      <w:r>
        <w:rPr>
          <w:b/>
        </w:rPr>
        <w:t>E. 5.2</w:t>
      </w:r>
    </w:p>
    <w:p>
      <w:r>
        <w:t>Der Beschwerdeführer scheint bei seinen Vorbringen insbesondere den Zweck von Art. 23 Abs. 3 AVIG zu verkennen, wenn er unter dem dort verwendeten Begriff der "normalen Arbeitszeit" in erster Linie die Tageszeiten verstanden haben will, an denen die Haupttätigkeit, sprich vorliegend die Arbeiten beim Verein B.________, ordentlicherweise auszuführen sind. Hinter dieser Regelung steht, wie auch dem in Art. 23 Abs. 1 AVIG verwendeten Rechtsbegriff "normalerweise", der Grundgedanke der Arbeitslosenversicherung, den Versicherungsschutz auf die im üblichen Rahmen ausgeübte Arbeitnehmertätigkeit zu beschränken ( BGE 126 V 207 E. 1 S. 209 sowie 125 V 475 E. 5a S. 478; je mit Verweis auf BGE 116 V 281 E. 2d S. 283). Verdienste, die mit über ein normales Arbeitnehmerpensum hinausgehenden Tätigkeiten erzielt werden, sollen für den versicherten Verdienst unbeachtlich bleiben ( BGE 129 V 105 E. 2 und 3.2 S. 107; 125 V 475 E. 5a S. 478). Folgerichtig ist darunter, wie auch beim in Art. 23 Abs. 1 AVIG verwendeten Rechtsbegriff "normalerweise", das Total der zu leistenden Wochenarbeitsstunden in der Haupttätigkeit - in casu 42 - und nicht der genaue Zeitpunkt, wann die Arbeitsstunden zu absolvieren sind, zu verstehen (dazu siehe BGE 126 V 207 E. 3a S. 209 und 125 V 475 E. 5b S. 479). Unter Nebenverdienst im Sinne von Art. 23 Abs. 3 AVIG ist mit anderen Worten in erster Linie jene Tätigkeit zu verstehen, die eine Person über eine Vollzeitstelle hinausgehend (zusätzlich) ausübt. Verrichtet jemand neben einer Vollzeitbeschäftigung eine weitere Tätigkeit, gilt diese zweite als Nebenerwerb ( BGE 125 V 475 E. 5a+b S. 478 f.). Wenn neben einer teilzeitig ausgeübten, inzwischen verlorenen Hauptbeschäftigung eine zweite Tätigkeit ausgeübt wird, ist diese in dem Umfang anzurechnen, als deren Pensum dasjenige der bisherigen Hauptbeschäftigung auf eine Vollzeitstelle ergänzt; ein illustratives Beispiel dazu findet sich in der vom Beschwerdeführer selbst angerufenen AVIG-Praxis ALE/C9, ebenso BGE 126 V 207 . Eine andere Frage ist, ob und inwieweit eine von einer versicherten Person in Ausübung der Schadenminderungspflicht vorgenommene Ausweitung einer bisher als Nebenverdienst im Sinne von Art. 23 Abs. 3 AVIG ausgeübten Tätigkeit als Zwischenverdienst anzurechnen ist. Dies ist indessen vorliegend nicht Streitthema (dazu siehe etwa BGE 123 V 230 oder die vom Beschwerdeführer angerufenen Urteile C 149/02 vom 27. Januar 2003 und C 186/00 vom 28. Februar 2001). Schliesslich ist der von der Vorinstanz in Anlehnung an BGE 123 V 230 E. 3c S. 233 vertretene Ansatz, wonach der massliche Umfang der Einkünfte neben der Frage des Gesamtpensums ein weiteres Abgrenzungskriterium zwischen Zweit-Tätigkeit und Nebenverdienst sein kann, zutreffend, denn es soll ja nicht jeglicher "Kleinstverdienst" eines Teilzeiters mit berücksichtigt werden. Insgesamt überzeugt der vorinstanzliche Entscheid auf der ganzen Linie.</w:t>
      </w:r>
    </w:p>
    <w:p>
      <w:r>
        <w:rPr>
          <w:b/>
        </w:rPr>
        <w:t>E. 5.3</w:t>
      </w:r>
    </w:p>
    <w:p>
      <w:r>
        <w:t>Selbst wenn die vom Beschwerdeführer angerufene betriebliche Normalarbeitszeit der Haupttätigkeit in seinem Sinne ausgelegt würde (d.h. zu welchen Tageszeiten diese Arbeiten ordentlicherweise auszuführen sind) und dies als alleiniges Abgrenzungsmerkmal herangezogen würde, bliebe es beim vorinstanzlichen Entscheid. Denn das kantonale Gericht ging in tatsächlicher Hinsicht davon aus, dass die Behauptung, das Einkommen aus der Lehrtätigkeit sei vorwiegend abends und an Samstagen erwirtschaftet worden, mithin ausserhalb der ordentlichen Arbeitszeiten der Haupttätigkeit, in den bei ihm eingereichten Akten keine Stütze finde. Diese Feststellung bindet das Bundesgericht (E. 2.2 hievor). Soweit der Beschwerdeführer diesen Nachweis durch erstmals vor Bundesgericht eingereichte Beweismittel erbringen will, legt er weder dar noch ist einsichtig, weshalb er diese nicht bereits im vorinstanzlichen Verfahren hätte beibringen können, obwohl er auf Grund seiner Mitwirkungspflichten dazu verpflichtet gewesen wäre; erstmals vor Bundesgericht eingereicht, können sie daher keine Wirkung entfalten (E. 2.3 hievor).</w:t>
      </w:r>
    </w:p>
    <w:p>
      <w:r>
        <w:rPr>
          <w:b/>
        </w:rPr>
        <w:t>E. 6</w:t>
      </w:r>
    </w:p>
    <w:p>
      <w:r>
        <w:t>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