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8C_652/2011 vom 5. Dezember 2011</w:t>
      </w:r>
    </w:p>
    <w:p>
      <w:r>
        <w:t>Bundesgericht, 2011-12-05, DE</w:t>
      </w:r>
    </w:p>
    <w:p>
      <w:r>
        <w:rPr>
          <w:b/>
        </w:rPr>
        <w:t xml:space="preserve">Quelle: </w:t>
      </w:r>
      <w:r>
        <w:t>https://mcp.opencaselaw.ch/entscheid/bger_8C_652_2011</w:t>
      </w:r>
    </w:p>
    <w:p>
      <w:r>
        <w:t>FR: TF 8C_652/2011 du 5 décembre 2011</w:t>
      </w:r>
    </w:p>
    <w:p>
      <w:r>
        <w:t>IT: TF 8C_652/2011 del 5 dicembre 2011</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2</w:t>
      </w:r>
    </w:p>
    <w:p>
      <w:r>
        <w:t>Streitig und zu prüfen ist der Zeitpunkt des Beginns der Arbeitsunfähigkeit und damit der Zeitpunkt der Eröffnung der Wartezeit sowie der Rentenbeginn. Unbestritten ist dagegen der Anspruch der Versicherten auf eine ganze Rente der Invalidenversicherung.</w:t>
      </w:r>
    </w:p>
    <w:p>
      <w:r>
        <w:rPr>
          <w:b/>
        </w:rPr>
        <w:t>E. 3.1</w:t>
      </w:r>
    </w:p>
    <w:p>
      <w:r>
        <w:t>Im angefochtenen Entscheid werden die zur Beurteilung des streitigen Leistungsanspruchs massgebenden gesetzlichen Grundlagen und die dazu ergangene Rechtsprechung zutreffend dargelegt, worauf verwiesen wird.</w:t>
      </w:r>
    </w:p>
    <w:p>
      <w:r>
        <w:rPr>
          <w:b/>
        </w:rPr>
        <w:t>E. 3.2</w:t>
      </w:r>
    </w:p>
    <w:p>
      <w:r>
        <w:t>Zu betonen bleibt, dass unter relevanter Arbeitsunfähigkeit im Sinne von Art. 28 Abs. 1 lit. b IVG eine Einbusse an funktionellem Leistungsvermögen im bisherigen Beruf oder Aufgabenbereich zu verstehen ist.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8C_195/2009 E. 5). Der Zeitpunkt des Eintritts der Arbeitsunfähigkeit muss mit dem im Sozialversicherungsrecht üblichen Beweisgrad der überwiegenden Wahrscheinlichkeit ( BGE 126 V 353 E. 5b S. 360 mit Hinweisen) nachgewiesen sein. Dieser Nachweis darf nicht durch nachträgliche erwerbliche oder medizinische Annahmen und spekulative Überlegungen ersetzt werden (Urteil 8C_41/2011 vom 17. Mai 2011 mit Hinweisen).</w:t>
      </w:r>
    </w:p>
    <w:p>
      <w:r>
        <w:rPr>
          <w:b/>
        </w:rPr>
        <w:t>E. 4.1</w:t>
      </w:r>
    </w:p>
    <w:p>
      <w:r>
        <w:t>Nach umfassender Auseinandersetzung mit den medizinischen Akten gelangte die Vorinstanz im angefochtenen Entscheid im Rahmen einer bundesrechtskonformen Beweiswürdigung ( BGE 132 V 393 E. 4.1 S. 400) zum nachvollziehbar begründeten Ergebnis, dass gestützt auf die echtzeitliche medizinische Einschätzung der Neurologen der Neurologischen Poliklinik des Inselspitals Bern (vom 2. März 2007) von einer vollen Arbeitsunfähigkeit ab März 2007 auszugehen ist. Sie erwog, mittels echtzeitlicher ärztlicher Atteste sei erstellt, dass im Jahr 2006 eine Arbeitsunfähigkeit lediglich während einigen Tagen im März und April und einigen Wochen im Mai attestiert wurde. Es sei deshalb im Jahre 2006 keine durchschnittliche Arbeitsunfähigkeit von 40% für die Dauer eines Jahres ausgewiesen. Auch nachdem eine gesicherte Diagnose für die geklagten Beschwerden Ende Dezember 2006 mit der Erhebung einer Multiplen Sklerose vorlag, sei der Versicherten echtzeitlich keine Arbeitsunfähigkeit von zumindest 20% attestiert worden.</w:t>
      </w:r>
    </w:p>
    <w:p>
      <w:r>
        <w:rPr>
          <w:b/>
        </w:rPr>
        <w:t>E. 4.2</w:t>
      </w:r>
    </w:p>
    <w:p>
      <w:r>
        <w:t>Die Einwendungen der Beschwerdeführerin vermögen an diesem Ergebnis nichts zu ändern. Sie sind nicht geeignet, die vorinstanzliche Sachverhaltsfeststellung als offensichtlich unrichtig oder unvollständig erscheinen zu lassen. Insbesondere vermögen die in der Beschwerde erwähnten Arztberichte keine vorgängige echtzeitliche Arbeitsunfähigkeit zu belegen. Es handelt sich dabei vielmehr weitgehend um nachträgliche medizinisch-theoretische Arbeitsfähigkeitsbeurteilungen, die für sich allein rechtsprechungsgemäss nicht genügen (vgl. E. 3.2 hievor). Zudem ist aufgrund der Akten eine anderweitig nachgewiesene gesundheitsbedingte Einbusse im Leistungsvermögen nicht mit dem im Sozialversicherungsrecht üblichen Beweisgrad der überwiegenden Wahrscheinlichkeit ( BGE 117 V 261 E. 3b S. 263 f.) erstellt. So lässt sich entgegen der Beschwerdeführerin aufgrund des Kündigungsschreibens der letzten Arbeitgeberin, der Stiftung gegen Gewalt an Frauen und Kinder, vom 31. Mai 2006 nicht unmissverständlich auf eine gesundheitsbedingte Überforderung schliessen. Im Kündigungsschreiben ist diesbezüglich nichts erwähnt. Inwiefern sich etwas Entsprechendes aus den Standortbestimmungen ergeben sollte, wird nicht näher begründet. Dem Fragebogen der IV-Stelle für Arbeitgeber vom 16. Februar 2007 wie auch dem Arbeitszeugnis vom 31. August 2006 ist vielmehr zu entnehmen, dass das Arbeitsverhältnis bei der Stiftung aufgelöst worden war, da die Kompetenzen nicht mit den Anforderungen der Stelle übereinstimmten. Entgegen den Einwendungen der Beschwerdeführerin bestand bei dieser Aktenlage für die Vorinstanz kein Grund für zusätzliche Abklärungen hinsichtlich des Beginns der erheblichen Arbeitsunfähigkeit. Eine Verletzung des Untersuchungsgrundsatzes ist nicht zu erkennen. Im Lichte der Akten durfte das kantonale Gericht eine vor dem März 2007 vorhandene relevante Arbeitsunfähigkeit verneinen, ohne gegen Bundesrecht zu verstossen. Die Beschwerde ist somit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