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8C_651/2023 vom 6. Dezember 2023</w:t>
      </w:r>
    </w:p>
    <w:p>
      <w:r>
        <w:t>Bundesgericht, 2023-12-06, IT</w:t>
      </w:r>
    </w:p>
    <w:p>
      <w:r>
        <w:rPr>
          <w:b/>
        </w:rPr>
        <w:t xml:space="preserve">Quelle: </w:t>
      </w:r>
      <w:r>
        <w:t>https://mcp.opencaselaw.ch/entscheid/bger_8C_651_2023</w:t>
      </w:r>
    </w:p>
    <w:p>
      <w:r>
        <w:t>FR: TF 8C_651/2023 du 6 décembre 2023</w:t>
      </w:r>
    </w:p>
    <w:p>
      <w:r>
        <w:t>IT: TF 8C_651/2023 del 6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Secondo l' art. 95 LTF il ricorrente può far valere, tra l'altro, la violazione del diritto federale (lett. a), mentre l'accertamento dei fatti può essere censurato solo se è stato svolto in modo manifestamente inesatto o in violazione del diritto ai sensi dell' art. 95 LTF e l'eliminazione del vizio può essere determinante per l'esito del procedimento ( art. 97 cpv. 1 LTF ). Conformemente all' art. 42 cpv. 1 e 2 LTF , il ricorso deve contenere, tra l'altro, le conclusioni e i motivi, spiegando in modo conciso perché l'atto impugnato viola il diritto. È necessario confrontarsi specificatamente con i considerandi della sentenza impugnata e spiegare in dettaglio quali disposizioni siano state violate dall'autorità inferiore e perché ( DTF 134 V 53 consid. 3.3; 133 IV 286 consid. 1.4). La semplice ripetizione del proprio punto di vista o la mera affermazione che il giudizio impugnato sia sbagliato non è sufficiente (sull'inammissibilità di critiche appellatorie, cfr. DTF 148 IV 205 consid. 2.6; 144 V 50 consid. 4.2; 137 V 57 consid. 1.3).</w:t>
      </w:r>
    </w:p>
    <w:p>
      <w:r>
        <w:rPr>
          <w:b/>
        </w:rPr>
        <w:t>E. 2</w:t>
      </w:r>
    </w:p>
    <w:p>
      <w:r>
        <w:t>Nel giudizio impugnato, il Tribunale cantonale ha respinto l'istanza di revisione della sua precedente sentenza 38.2017.89 del 31 gennaio 2018 poiché i documenti presentati dal ricorrente a tal fine non costituivano fatti e prove nuovi ai sensi dell' art. 61 lett. i LPGA (RS 830.1) e del diritto cantonale applicabile.</w:t>
      </w:r>
    </w:p>
    <w:p>
      <w:r>
        <w:rPr>
          <w:b/>
        </w:rPr>
        <w:t>E. 3</w:t>
      </w:r>
    </w:p>
    <w:p>
      <w:r>
        <w:t>Il ricorrente si limita a contestare il merito della sentenza cantonale di cui ha chiesto la revisione affermando di avere soddisfatto gli obblighi stabiliti dalla LADI (RS 837.0), senza tuttavia confrontarsi con i considerandi della giudizio impugnato e spiegare in che modo esso sia contrario al diritto. In particolare, egli neppure tenta di dimostrare il perché i documenti presentati giustifichino una revisione.</w:t>
      </w:r>
    </w:p>
    <w:p>
      <w:r>
        <w:rPr>
          <w:b/>
        </w:rPr>
        <w:t>E. 4</w:t>
      </w:r>
    </w:p>
    <w:p>
      <w:r>
        <w:t>Il ricorso non soddisfa manifestamente le esigenze formali di motivazione e, pertanto, statuendo secondo la procedura semplificata dell' art. 108 cpv. 1 lett. b LTF , deve essere dichiarato inammissibile.</w:t>
      </w:r>
    </w:p>
    <w:p>
      <w:r>
        <w:rPr>
          <w:b/>
        </w:rPr>
        <w:t>E. 5</w:t>
      </w:r>
    </w:p>
    <w:p>
      <w:r>
        <w:t>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