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8C_650/2015 vom 28. Dezember 2015</w:t>
      </w:r>
    </w:p>
    <w:p>
      <w:r>
        <w:t>Bundesgericht, 2015-12-28, DE</w:t>
      </w:r>
    </w:p>
    <w:p>
      <w:r>
        <w:rPr>
          <w:b/>
        </w:rPr>
        <w:t xml:space="preserve">Quelle: </w:t>
      </w:r>
      <w:r>
        <w:t>https://mcp.opencaselaw.ch/entscheid/bger_8C_650_2015</w:t>
      </w:r>
    </w:p>
    <w:p>
      <w:r>
        <w:t>FR: TF 8C_650/2015 du 28 décembre 2015</w:t>
      </w:r>
    </w:p>
    <w:p>
      <w:r>
        <w:t>IT: TF 8C_650/2015 del 28 dicembre 2015</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w:t>
      </w:r>
    </w:p>
    <w:p>
      <w:r>
        <w:rPr>
          <w:b/>
        </w:rPr>
        <w:t>E. 2.1</w:t>
      </w:r>
    </w:p>
    <w:p>
      <w:r>
        <w:t>Die Beschwerde in öffentlich-rechtlichen Angelegenheiten kann wegen Rechtsverletzung gemäss Art. 95 und Art. 96 BGG erhoben werden. Der angefochtene Entscheid stützt sich in der Sache auf kommunales Recht. Als Beschwerdegrund kommt im Wesentlichen die Verletzung von Bundesrecht, insbesondere von verfassungsmässigen Rechten in Frage ( Art. 95 BGG ). Die Anwendung des kommunalen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vgl. auch Urteil 8C_644/2014 vom 25. März 2015 E. 2).</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und zu prüfen ist, ob die Vorinstanz Bundesrecht verletzte, als sie die Rechtmässigkeit der Kündigung gemäss Verfügung vom 21. Juni 2012 bestätigte. Dabei macht die Beschwerdeführerin letztinstanzlich nicht mehr geltend, die Kündigung sei missbräuchlich gewesen, da sie im Rahmen eines Arbeitskonfliktes erfolgt sei. Demgegenüber beruft sich die Beschwerdeführerin auch vor Bundesgericht darauf, die Kündigung sei in Verletzung von Art. 23 Abs. 3 Satz 1 der Verordnung (der Stadt Zürich) über das Arbeitsverhältnis des städtischen Personals vom 6. Februar 2002 erfolgt, indem vor der Auflösung des Arbeitsverhältnisses die Anstellungsinstanz nicht bzw. zu wenig geprüft habe, ob die Beschwerdeführerin an eine andere Stelle innerhalb der Stadtverwaltung hätte vermittelt werden können.</w:t>
      </w:r>
    </w:p>
    <w:p>
      <w:r>
        <w:rPr>
          <w:b/>
        </w:rPr>
        <w:t>E. 4</w:t>
      </w:r>
    </w:p>
    <w:p>
      <w:r>
        <w:t>Das kantonale Gericht hat in umfassender und sorgfältiger Würdigung der Akten für das Bundesgericht grundsätzlich verbindlich festgestellt, dass die Beschwerdeführerin im hier relevanten Zeitpunkt im Juni 2012 nicht nur an ihrer bisherigen Stelle arbeitsunfähig war, sondern ihr aus gesundheitlichen Gründen auch keine andere Stelle in der Stadt Zürich hätte vermittelt werden können. Was die Beschwerdeführerin gegen diese Feststellung vorbringt, vermag sie nicht als bundesrechtswidrig erscheinen zu lassen. Insbesondere erscheint es nicht als offensichtlich unrichtig, die Äusserung ihres behandelnden Arztes im Schreiben vom 11. Mai 2012, die Arbeitsfähigkeit in einer angepassten Tätigkeit betrage 30 %, durch den Umstand als widerlegt anzusehen, dass sie in der Zeit vom 1. Juli 2012 bis 30. Juni 2013 ein Taggeld der Invalidenversicherung bezog und umfangreiche Eingliederungsmassnahmen absolvierte. Da das kantonale Gericht bezüglich dem Vorliegen der Arbeitsunfähigkeit zu einem Beweisergebnis gelangte, durfte es auch ohne Verletzung des Untersuchungsgrundsatzes von weiteren diesbezüglichen Abklärungen absehen. Wie die Vorinstanz weiter zutreffend ausführte, ist auch aus dem Umstand, dass die Beschwerdeführerin nach Auslaufen der Taggeldzahlungen der Invalidenversicherung eine neu geschaffene Stelle bei der Beschwerdegegnerin antreten konnte, zu schliessen, dass sich die Beschwerdegegnerin bemühte, eine für die Beschwerdeführerin gute Lösung zu finden. Auch dies spricht gegen die Annahme einer leichtfertigen Kündigung durch die Beschwerdegegnerin. Damit hat das kantonale Gericht nicht gegen Bundesrecht verstossen, als es die Rechtmässigkeit der Kündigung bestätigte; die Beschwerde ist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