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8C_650/2014 vom 12. Dezember 2014</w:t>
      </w:r>
    </w:p>
    <w:p>
      <w:r>
        <w:t>Bundesgericht, 2014-12-12, DE</w:t>
      </w:r>
    </w:p>
    <w:p>
      <w:r>
        <w:rPr>
          <w:b/>
        </w:rPr>
        <w:t xml:space="preserve">Quelle: </w:t>
      </w:r>
      <w:r>
        <w:t>https://mcp.opencaselaw.ch/entscheid/bger_8C_650_2014</w:t>
      </w:r>
    </w:p>
    <w:p>
      <w:r>
        <w:t>FR: TF 8C_650/2014 du 12 décembre 2014</w:t>
      </w:r>
    </w:p>
    <w:p>
      <w:r>
        <w:t>IT: TF 8C_650/2014 del 12 dicembre 2014</w:t>
      </w:r>
    </w:p>
    <w:p>
      <w:pPr>
        <w:pStyle w:val="Heading2"/>
      </w:pPr>
      <w:r>
        <w:t>Erwägungen</w:t>
      </w:r>
    </w:p>
    <w:p>
      <w:r>
        <w:rPr>
          <w:b/>
        </w:rPr>
        <w:t>E. 1</w:t>
      </w:r>
    </w:p>
    <w:p>
      <w:r>
        <w:t>Die Beschwerde in öffentlich-rechtlichen Angelegenheiten ( Art. 82 ff. BGG ) kann wegen Rechtsverletzungen gemäss den Art. 95 f. BGG erhoben werden. Weil die Beschwerdeführerin den kantonalen Entscheid, in welchem es um die Zusprechung oder Verweigerung von Versicherungsleistungen der Unfallversicherung geht, nur bezüglich der Tragung von Gutachtenskosten und damit in einem Nebenpunkt angefochten hat, spielt die kognitionsrechtliche Ausnahmeregelung in Art. 105 Abs. 3 BGG hier keine Rolle. Das Bundesgericht legt seinem Urteil den Sachverhalt zugrunde, den die Vorinstanz festgestellt hat ( Art. 105 Abs. 1 BGG ), und kann eine Sachverhaltsfeststellung der Vorinstanz nur berichtigen oder ergänzen, wenn sie offensichtlich unrichtig ist oder auf einer Rechtsverletzung im Sinne von Art. 95 BGG beruht ( Art. 105 Abs. 2 BGG ).</w:t>
      </w:r>
    </w:p>
    <w:p>
      <w:r>
        <w:t>Im Übrigen wendet das Gericht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 BGE 133 II 249 E. 1.4.1 S. 254).</w:t>
      </w:r>
    </w:p>
    <w:p>
      <w:r>
        <w:rPr>
          <w:b/>
        </w:rPr>
        <w:t>E. 2</w:t>
      </w:r>
    </w:p>
    <w:p>
      <w:r>
        <w:t>Streitig ist, ob das kantonale Gericht Bundesrecht verletzt hat, als es die Kosten für die im Spital E.________ in Auftrag gegebene Begutachtung (vgl. nachstehende E. 2.2.2) der Beschwerdeführerin auferlegt hat.</w:t>
      </w:r>
    </w:p>
    <w:p>
      <w:r>
        <w:rPr>
          <w:b/>
        </w:rPr>
        <w:t>E. 2.1</w:t>
      </w:r>
    </w:p>
    <w:p>
      <w:r>
        <w:t>In BGE 139 V 225 hat sich das Bundesgericht mit der Frage befasst, wer die Kosten eines gerichtlich angeordneten Gutachtens in unfallversicherungsrechtlichen Verfahren zu tragen hat. Dabei hat es in E. 4.3 S. 226 f. in sinngemässer Anwendung der gemäss BGE 137 V 210 für Verfahren der Invalidenversicherung geltenden Grundsätze erkannt, dass die Kosten eines Gutachtens, welches das kantonale Gericht bei festgestellter Abklärungsbedürftigkeit anstelle einer Rückweisung selber einholt, auch im Verfahren der Unfallversicherung dem Versicherungsträger auferlegt werden können. Dies hat auch zu gelten, wenn - wie hier - ein kantonales Gericht erst auf Aufforderung des Bundesgerichts in einem Rückweisungsurteil zu zusätzlichen Erhebungen in Form der Einholung weiterer ärztlicher Erläuterungen schreitet. Grundlegende Voraussetzung bleibt aber, dass - wie in Art. 45 Abs. 1 ATSG vorgesehen - ein ärztlicherseits erstattetes Dokument, für dessen Kosten letztlich der betroffene Versicherer aufkommen soll, für die abschliessende Entscheidfindung über einen streitigen Leistungsanspruch unerlässlich war (oder aber Bestandteil nachträglich zugesprochener Leistungen bildet).</w:t>
      </w:r>
    </w:p>
    <w:p>
      <w:r>
        <w:rPr>
          <w:b/>
        </w:rPr>
        <w:t>E. 2.2.1</w:t>
      </w:r>
    </w:p>
    <w:p>
      <w:r>
        <w:t>Nach Erhalt des bundesgerichtlichen Rückweisungsurteils vom 8. Januar 2013 erkundigte sich das kantonale Sozialversicherungsgericht zunächst - wie vom Bundesgericht in dessen Rückweisungsurteil vorgesehen - bei Dr. med. C.________, Chefarzt der Klinik für Orthopädische Chirurgie am Spital B.________, nach der genauen Bedeutung seiner Angaben zur Arbeitsfähigkeit im Bericht vom 21. April 2010. Danach könnte der Versicherte "zumindest 50 % arbeitsfähig geschrieben werden". Diese Formulierung des Dr. med. C.________ war es, welche beim Bundesgericht gewisse Zweifel an dem von den - von der Beschwerdeführerin beigezogenen - Dres. med. H.________ und I.________ bescheinigten, praktisch uneingeschränkten Leistungsvermögen bei leidensangepassten Tätigkeiten hatte aufkommen lassen und deshalb Anlass zur schliesslich angeordneten Rückweisung bot. In seinem Antwortschreiben vom 5. März 2013 führte Dr. med. C.________ dann aus, er revidiere seine frühere "Aussage einer mindestens 50%igen Arbeitsfähigkeit" und beurteile die "Arbeitsfähigkeit ... in einer solchermassen, optimal an die Beschwerden adaptierten Tätigkeit ebenfalls als 100 %". Damit brachte er unmissverständlich zum Ausdruck, dass er mit den Schätzungen der Dres. med. H.________ und I.________, aber auch des Vertrauensarztes der Krankenversicherung Dr. med. J.________, einig gehe, davon nicht abweichen wolle. Die Zweifel an der Zuverlässigkeit der Einschätzung dieser Ärzte, welche noch Anlass zur Rückweisung vom 8. Januar 2013 geboten hatten, waren damit eindeutig ausgeräumt worden und einer abschliessenden Beurteilung noch streitiger Leistungsansprüche stand nichts mehr im Wege.</w:t>
      </w:r>
    </w:p>
    <w:p>
      <w:r>
        <w:rPr>
          <w:b/>
        </w:rPr>
        <w:t>E. 2.2.2</w:t>
      </w:r>
    </w:p>
    <w:p>
      <w:r>
        <w:t>Es war somit aber nicht unabdingbar erforderlich, diesbezüglich dem Spital E.________ - einem Antrag des Versicherten folgend - Zusatzfragen zu den Auswirkungen der unfallbedingten Schädigung auf die Arbeitsfähigkeit zu stellen. Dies dürfte denn auch lediglich im Hinblick darauf geschehen sein, dass die Vorinstanz im parallel laufenden invalidenversicherungsrechtlichen Verfahren gleichentags ohnehin schon eine orthopädisch-chirurgische Begutachtung in Auftrag gegeben und der Versicherte einen entsprechenden Vorschlag gemacht hatte. Dadurch verursachte Kosten dem Unfallversicherer zu überbinden, fällt unter diesen Umständen nicht in Betracht, war diese Vorkehr doch keineswegs unerlässlich im Sinne von Art. 45 Abs. 1 ATSG .</w:t>
      </w:r>
    </w:p>
    <w:p>
      <w:r>
        <w:rPr>
          <w:b/>
        </w:rPr>
        <w:t>E. 2.2.3</w:t>
      </w:r>
    </w:p>
    <w:p>
      <w:r>
        <w:t>Im Ergebnis nichts anderes gilt bezüglich der an das Spital E.________ gerichteten Frage nach der Eignung der von der Beschwerdeführerin mit den aufgelegten Blättern aus ihrer internen Arbeitsplatzdokumentation (DAP) aufgezeigten Stellenbeschriebe für den Versicherten. Die Beschwerdeführerin hat die ihrer Ansicht nach für den Versicherten in Betracht fallenden DAP-Blätter aufgelegt. Darüber zu befinden, ob diese tatsächlich mit dessen Leistungsprofil vereinbar sind, was bestritten war, oblag der Vorinstanz. Erachtet diese als gerichtliche Behörde nähere Abklärungen als notwendig und ordnet sie deshalb eine medizinische Überprüfung an, gehört dies zu ihrem Aufgabenbereich. Es geht nicht an, damit verbundene Kosten auf den Unfallversicherer abzuwälzen, welchem ja nicht vorgeworfen werden kann, von Vorkehren abgesehen zu haben, die er hätte treffen müssen. Daran ändert nichts, dass erst die ärztlichen Stellungnahmen zur Vereinbarkeit der ausgewählten DAP-Blätter mit der vorhandenen Gesundheitsschädigung das kantonale Gericht zur Erkenntnis führten, dass eines der fünf aufgelegten DAP-Blätter für den Versicherten ausser Betracht falle, was schliesslich zur Folge hatte, dass das Bundesgericht eine Invaliditätsbemessung gestützt auf DAP-Blätter im parallel laufenden Verfahren 8C_566/2014 mit heutigem Urteil als unzulässig erklärte.</w:t>
      </w:r>
    </w:p>
    <w:p>
      <w:r>
        <w:rPr>
          <w:b/>
        </w:rPr>
        <w:t>E. 2.3</w:t>
      </w:r>
    </w:p>
    <w:p>
      <w:r>
        <w:t>Damit kann dahingestellt bleiben, worauf genau sich die Rechnung des Spitals E.________ vom 18. Februar 2014 über Fr. 11'500.- bezieht, was sich zumindest dem in den Akten liegenden Dokument nicht ohne Weiteres entnehmen lässt. Jedenfalls ginge es nicht an, die gesamten Kosten des (80-seitigen) Gutachtens des Prof. Dr. med. F.________ Leitender Arzt und Facharzt FMH für Orthopädische Chirurgie und Traumatologie des Bewegungsapparates, und des Assistenzarztes Dr. med. G.________, beide vom Spital E.________, vom 14. Januar 2014, welches ja primär auf die Sachverhaltsklärung im invalidenversicherungsrechtlichen Rechtsmittelverfahren ausgerichtet war, der Beschwerdeführerin als Unfallversicherer zu überbinden.</w:t>
      </w:r>
    </w:p>
    <w:p>
      <w:r>
        <w:rPr>
          <w:b/>
        </w:rPr>
        <w:t>E. 3</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