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8C_64/2025 vom 10. März 2025</w:t>
      </w:r>
    </w:p>
    <w:p>
      <w:r>
        <w:t>Bundesgericht, 2025-03-10, IT</w:t>
      </w:r>
    </w:p>
    <w:p>
      <w:r>
        <w:rPr>
          <w:b/>
        </w:rPr>
        <w:t xml:space="preserve">Quelle: </w:t>
      </w:r>
      <w:r>
        <w:t>https://mcp.opencaselaw.ch/entscheid/bger_8C_64_2025</w:t>
      </w:r>
    </w:p>
    <w:p>
      <w:r>
        <w:t>FR: TF 8C_64/2025 du 10 mars 2025</w:t>
      </w:r>
    </w:p>
    <w:p>
      <w:r>
        <w:t>IT: TF 8C_64/2025 del 10 marzo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 sentenza del 30 dicembre 2024, il Tribunale delle assicurazioni del Cantone Ticino ha respinto il ricorso di A.________ in materia di assistenza sociale.</w:t>
      </w:r>
    </w:p>
    <w:p>
      <w:r>
        <w:t>Sulla base del diritto cantonale applicabile (cfr. in particolare la legge ticinese sull'assistenza sociale [Las/TI; RL 871.100] e la legge ticinese sull'armonizzazione e il coordinamento delle prestazioni sociali [Laps; RL 870.100], la Corte cantonale ha tutelato la decisione su reclamo dell'Ufficio del sostegno sociale dell'inserimento del Cantone Ticino del 5 settembre 2024, con la quale veniva riconosciuta all'interessata una prestazione assistenziale pari a fr. 566.- per il mese di aprile 2024. I primi giudici hanno ritenuto corretto che fosse stato computato, tra le entrate dell'unità di riferimento composta da A.________ e il figlio, il contributo di mantenimento corrisposto per quest'ultimo dal padre per fr. 1'050.- al mese. Ciò a maggior ragione considerando che nel mese di aprile 2024 ella aveva utilizzato proprio quell'importo, allorquando il suo conto corrente postale risultava scoperto, per far fronte alle spese quotidiane e non per restituire alla sorella quanto anticipato per il perfezionamento linguistico del figlio.</w:t>
      </w:r>
    </w:p>
    <w:p>
      <w:r>
        <w:rPr>
          <w:b/>
        </w:rPr>
        <w:t>E. 1.2</w:t>
      </w:r>
    </w:p>
    <w:p>
      <w:r>
        <w:t>A.________ ha impugnato con un "ricorso" il giudizio della Corte cantonale davanti al Tribunale federale.</w:t>
      </w:r>
    </w:p>
    <w:p>
      <w:r>
        <w:rPr>
          <w:b/>
        </w:rPr>
        <w:t>E. 2</w:t>
      </w:r>
    </w:p>
    <w:p>
      <w:r>
        <w:t>Conformemente all' art. 42 cpv. 1 e 2 LTF , il ricorso deve contenere, tra l'altro, le conclusioni e i motivi, spiegando in modo conciso perché l'atto impugnato viola il diritto. La denuncia della lesione di diritti fondamentali va formulata con precisione ( art. 106 cpv. 2 LTF ). Salvo nei casi citati dall' art. 95 LTF , la violazione del diritto cantonale non è criticabile. Di esso si può denunciare un'applicazione che lede il diritto federale e, segnatamente, il divieto d'arbitrio o altri diritti costituzionali ( DTF 137 V 143 consid. 1.2).</w:t>
      </w:r>
    </w:p>
    <w:p>
      <w:r>
        <w:rPr>
          <w:b/>
        </w:rPr>
        <w:t>E. 3</w:t>
      </w:r>
    </w:p>
    <w:p>
      <w:r>
        <w:t>Nella fattispecie, seppure il ricorso già si palesi sprovvisto di conclusioni chiare (comunque, alla sua lettura, nondimeno interpretabili), la ricorrente neppure pretende - e tantomeno dimostra - il carattere arbitrario nell'applicazione del diritto cantonale o nell'accertamento dei fatti, oppure ancora la violazione di altri diritti costituzionali.</w:t>
      </w:r>
    </w:p>
    <w:p>
      <w:r>
        <w:rPr>
          <w:b/>
        </w:rPr>
        <w:t>E. 4</w:t>
      </w:r>
    </w:p>
    <w:p>
      <w:r>
        <w:t>Per quanto precede, il ricorso è manifestamente inammissibile e va deciso secondo la procedura di cui all' art. 108 cpv. 1 lett. b LTF .</w:t>
      </w:r>
    </w:p>
    <w:p>
      <w:r>
        <w:rPr>
          <w:b/>
        </w:rPr>
        <w:t>E. 5</w:t>
      </w:r>
    </w:p>
    <w:p>
      <w:r>
        <w:t>Viste le peculiarità del caso, si prescinde eccezionalmente dal caricare le spese giudiziarie alla parte soccombente ( art. 66 cpv. 1 LTF ).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alle parti e al Tribunale delle assicurazioni del Cantone Ticino.</w:t>
      </w:r>
    </w:p>
    <w:p>
      <w:r>
        <w:t>Lucerna, 10 marzo 2025</w:t>
      </w:r>
    </w:p>
    <w:p>
      <w:r>
        <w:t>In nome della IV Corte di diritto pubblico</w:t>
      </w:r>
    </w:p>
    <w:p>
      <w:r>
        <w:t>del Tribunale federale svizzero</w:t>
      </w:r>
    </w:p>
    <w:p>
      <w:r>
        <w:t>La Presidente: Viscione</w:t>
      </w:r>
    </w:p>
    <w:p>
      <w:r>
        <w:t>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