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8C_64/2023 vom 22. Februar 2023</w:t>
      </w:r>
    </w:p>
    <w:p>
      <w:r>
        <w:t>Bundesgericht, 2023-02-22, IT</w:t>
      </w:r>
    </w:p>
    <w:p>
      <w:r>
        <w:rPr>
          <w:b/>
        </w:rPr>
        <w:t xml:space="preserve">Quelle: </w:t>
      </w:r>
      <w:r>
        <w:t>https://mcp.opencaselaw.ch/entscheid/bger_8C_64_2023</w:t>
      </w:r>
    </w:p>
    <w:p>
      <w:r>
        <w:t>FR: TF 8C_64/2023 du 22 février 2023</w:t>
      </w:r>
    </w:p>
    <w:p>
      <w:r>
        <w:t>IT: TF 8C_64/2023 del 22 febbraio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w:t>
      </w:r>
    </w:p>
    <w:p>
      <w:r>
        <w:rPr>
          <w:b/>
        </w:rPr>
        <w:t>E. 2.1</w:t>
      </w:r>
    </w:p>
    <w:p>
      <w:r>
        <w:t>Nei considerandi della sentenza impugnata, il Tribunale cantonale delle assicurazioni ha constatato che nell'ultimo termine quadro per il periodo di contribuzione, a decorrere dal 1° luglio 2019 fino al 31 marzo 2022 (termine prolungato conformemente all'art. 8a dell'ordinanza COVID-19 assicurazione contro la disoccupazione [RS 837.033]), il ricorrente aveva lavorato in qualità di dipendente per soltanto 11 mesi, ovvero da luglio 2019 fino a maggio 2020. Non essendo stato raggiunto il periodo minimo di contribuzione di 12 mesi ai sensi dell' art. 13 cpv. 1 LADI , e in assenza di motivi di esonero secondo l' art. 14 LADI , la Corte cantonale ha confermato la decisione su opposizione dell'opponente. Essa ha inoltre rilevato che le condizioni dell' art. 9a LADI non fossero adempiute, poiché da un lato il ricorrente esercitava l'attività da indipendente già da un trentennio, e dall'altro non l'aveva definitivamente interrotta durante il termine quadro.</w:t>
      </w:r>
    </w:p>
    <w:p>
      <w:r>
        <w:rPr>
          <w:b/>
        </w:rPr>
        <w:t>E. 2.2</w:t>
      </w:r>
    </w:p>
    <w:p>
      <w:r>
        <w:t>Il ricorrente postula la concessione di un nuovo termine quadro affinché possa "ben strutturare la nuova attività indipendente a titolo principale", oltre che il conferimento di indennità per perdita di guadagno per coronavirus. Egli omette tuttavia di indicare in che modo il giudizio impugnato sia lesivo del diritto, limitandosi a contrapporre i propri calcoli a quelli dell'istanza inferiore e chiedendone una revisione. Oltre a ciò, il ricorrente solleva pretese relative a prestazioni che neppure sono state oggetto della sentenza cantonale.</w:t>
      </w:r>
    </w:p>
    <w:p>
      <w:r>
        <w:rPr>
          <w:b/>
        </w:rPr>
        <w:t>E. 2.3</w:t>
      </w:r>
    </w:p>
    <w:p>
      <w:r>
        <w:t>Il ricorso non soddisfa manifestamente le esigenze formali minime suesposte e pertanto, statuendo secondo la procedura semplificata dell' art. 108 cpv. 1 lett. b LTF , esso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