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8C_64/2008 vom 4. Februar 2009</w:t>
      </w:r>
    </w:p>
    <w:p>
      <w:r>
        <w:t>Bundesgericht, 2009-02-04, DE</w:t>
      </w:r>
    </w:p>
    <w:p>
      <w:r>
        <w:rPr>
          <w:b/>
        </w:rPr>
        <w:t xml:space="preserve">Quelle: </w:t>
      </w:r>
      <w:r>
        <w:t>https://mcp.opencaselaw.ch/entscheid/bger_8C_64_2008</w:t>
      </w:r>
    </w:p>
    <w:p>
      <w:r>
        <w:t>FR: TF 8C_64/2008 du 4 février 2009</w:t>
      </w:r>
    </w:p>
    <w:p>
      <w:r>
        <w:t>IT: TF 8C_64/2008 del 4 febbraio 2009</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untersuchen,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Letztinstanzlich ist einzig strittig, ob die Beschwerdeführerin Anspruch auf eine Invalidenrente nach UVG hat. Das kantonale Gericht hat die zur Beurteilung dieses Anspruchs einschlägigen Rechtsgrundlagen zutreffend dargelegt. Darauf wird verwiesen.</w:t>
      </w:r>
    </w:p>
    <w:p>
      <w:r>
        <w:rPr>
          <w:b/>
        </w:rPr>
        <w:t>E. 3</w:t>
      </w:r>
    </w:p>
    <w:p>
      <w:r>
        <w:t>Während die Vorinstanz einen das anspruchsbegründende Mindestmass nach Art. 18 Abs. 1 UVG von 10 % nicht erreichenden Invaliditätsgrad von 9.35 % ermittelte, bringt die Versicherte vor, bei korrektem Einkommensvergleich erleide sie unfallbedingt eine Erwerbseinbusse von 12 % (eventuell 11,4 %). Die Differenz gegenüber dem kantonalen Gericht rührt einerseits aus einem um Fr. 772.60 tieferen Invalideneinkommen von Fr. 39'449.00 und anderseits aus einem um Fr. 150.30 höheren Valideneinkommen von Fr. 44'519.00 her. Ob die in diesem Zusammenhang erhobenen Vorbringen der Beschwerdeführerin berechtigt sind oder nicht, kann aus den nachfolgenden Gründen offen bleiben:</w:t>
      </w:r>
    </w:p>
    <w:p>
      <w:r>
        <w:rPr>
          <w:b/>
        </w:rPr>
        <w:t>E. 3.1</w:t>
      </w:r>
    </w:p>
    <w:p>
      <w:r>
        <w:t>Das kantonale Gericht hat das Invalideneinkommen basierend auf den LSE-Tabellenlöhnen mit Fr. 50'277.00 ermittelt und sodann - wie bereits die Versicherung - einen leidensbedingten Abzug von 20% gewährt.</w:t>
      </w:r>
    </w:p>
    <w:p>
      <w:r>
        <w:rPr>
          <w:b/>
        </w:rPr>
        <w:t>E. 3.2</w:t>
      </w:r>
    </w:p>
    <w:p>
      <w:r>
        <w:t>Ob ein behinderungsbedingt oder anderweitig begründeter Abzug vom Tabellenlohn vorzunehmen ist, stellt eine frei überprüfbare Rechtsfrage dar. Dagegen geht es bei der Höhe des (im konkreten Fall grundsätzlich angezeigten) Abzugs vom Tabellenlohn um eine typische Ermessensfrage. Deren Beantwortung ist letztinstanzlicher Korrektur nur mehr dort zugänglich, wo das kantonale Versicherungsgericht das Ermessen rechtsfehlerhaft ausgeübt hat, also Ermessensüberschreitung, -missbrauch oder -unterschreitung vorliegt (vgl. BGE 132 V 393 E. 3.3 in fine S. 399; Urteil 9C_973/2008 vom 19. Januar 2009 E. 3). Ermessensmissbrauch ist gegeben, wenn eine Behörde zwar im Rahmen des ihr eingeräumten Ermessens bleibt, sich aber von unsachlichen, dem Zweck der massgebenden Vorschriften fremden Erwägungen leiten lässt oder allgemeine Rechtsprinzipien, wie das Verbot von Willkür oder rechtsungleicher Behandlung, das Gebot von Treu und Glauben sowie den Grundsatz der Verhältnismässigkeit verletzt ( BGE 123 V 150 E. 2 S. 152 mit Hinweisen).</w:t>
      </w:r>
    </w:p>
    <w:p>
      <w:r>
        <w:rPr>
          <w:b/>
        </w:rPr>
        <w:t>E. 3.3</w:t>
      </w:r>
    </w:p>
    <w:p>
      <w:r>
        <w:t>Weder in der Verfügung vom 2. August 2006 noch im Einspracheentscheid vom 9. Januar 2007 begründete die AXA, weshalb sie einen Abzug von 20 % gewährte. Das kantonale Gericht bezeichnet diesen zwar als grosszügig, führt zur Begründung indessen nur aus, er erscheine insgesamt nicht als unangemessen. Ob diese Begründung ausreichend im Sinne des in BGE 126 V 75 E. 5b/dd S. 80 Erwogenen ist, ist fraglich, kann aber dahingestellt bleiben.</w:t>
      </w:r>
    </w:p>
    <w:p>
      <w:r>
        <w:rPr>
          <w:b/>
        </w:rPr>
        <w:t>E. 3.4</w:t>
      </w:r>
    </w:p>
    <w:p>
      <w:r>
        <w:t>Wenngleich auch die Beschwerdeführerin infolge ihrer unfallbedingten gesundheitlichen Beeinträchtigungen die angestammte Tätigkeit als Verkäuferin aus medizinischen Gründen nicht wieder aufnehmen konnte, bleibt ihr doch die Ausübung einer leidensangepassten, körperlich nicht belastenden Tätigkeit in wechselnder Position (vorwiegend sitzend sowie wenig gehend und stehend) bei voller Arbeitsfähigkeit zugegebenermassen ganztags zumutbar. Diese - verhältnismässig geringe - unfallbedingte Einschränkung der körperlichen Leistungsfähigkeit rechtfertigt auch unter Berücksichtigung der übrigen lohnbestimmenden Einflussfaktoren keinesfalls einen leidensbedingten Abzug in der Höhe von 20%, welcher damit nur 5 % unter dem Maximum ( BGE 126 V 75 E. 5b/cc S. 80) liegt. Nach Massgabe der praxisgemäss heranzuziehenden Umstände beruflicher und persönlicher Natur des konkreten Einzelfalles erscheint hier - wenn überhaupt - im Rahmen des pflichtgemässen Ermessens ein Abzug von 5 % bis allerhöchstens 10 % als gerade noch vertretbar. Denn weder das Alter noch die Dienstjahre, die Aufenthaltskategorie oder der Beschäftigungsgrad der Versicherten vermögen einen nachteiligen Einfluss auf die Verwertbarkeit der verbleibenden Erwerbsfähigkeit zu begründen. Indem Versicherung und Vorinstanz einen leidensbedingten Abzug vom Tabellenlohn von 20 % gewährten, haben sie sich ohne sachliche Begründung über die Bemessungsgrundlagen gemäss BGE 126 V 75 hinweg gesetzt und das ihnen eingeräumte Ermessen somit rechtsfehlerhaft ausgeübt.</w:t>
      </w:r>
    </w:p>
    <w:p>
      <w:r>
        <w:rPr>
          <w:b/>
        </w:rPr>
        <w:t>E. 3.5</w:t>
      </w:r>
    </w:p>
    <w:p>
      <w:r>
        <w:t>Lässt sich hier ein leidensbedingter Abzug vom Tabellenlohn von höchstens 10 % rechtfertigen, folgt - selbst wenn auf die Angaben der Beschwerdeführerin abgestellt wird - aus dem Vergleich des solchermassen angepassten Invalideneinkommens von 44'380.80 (= Fr. 49'312.00 x 0,9) mit dem Valideneinkommen von Fr. 44'519.00, dass die Versicherte unfallbedingt keine Erwerbseinbusse erleidet. Versicherung und Vorinstanz haben folglich im Ergebnis zu Recht den Anspruch auf eine Invalidenrente nach UVG verneint.</w:t>
      </w:r>
    </w:p>
    <w:p>
      <w:r>
        <w:rPr>
          <w:b/>
        </w:rPr>
        <w:t>E. 4</w:t>
      </w:r>
    </w:p>
    <w:p>
      <w:r>
        <w:t>Die Gerichtskosten werden der unterliegenden Beschwerdeführerin auferlegt ( Art. 66 Abs. 1 BGG ). Gleichzeitig wird ihr die unentgeltliche Rechtspflege (Prozessführung und Verbeiständung; Art. 64 BGG ) gewährt, da die hiefür erforderlichen Voraussetzungen (Bedürftigkeit, Nichtaussichtslosigkeit und Gebotenheit einer Verbeiständung) gegeben sind ( BGE 125 V 201 E. 4a S. 202 und 371 E. 5b S. 372, je mit Hinweisen).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