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8C_649/2019 vom 4. November 2020</w:t>
      </w:r>
    </w:p>
    <w:p>
      <w:r>
        <w:t>Bundesgericht, 2020-11-04, FR</w:t>
      </w:r>
    </w:p>
    <w:p>
      <w:r>
        <w:rPr>
          <w:b/>
        </w:rPr>
        <w:t xml:space="preserve">Quelle: </w:t>
      </w:r>
      <w:r>
        <w:t>https://mcp.opencaselaw.ch/entscheid/bger_8C_649_2019</w:t>
      </w:r>
    </w:p>
    <w:p>
      <w:r>
        <w:t>FR: TF 8C_649/2019 du 4 novembre 2020</w:t>
      </w:r>
    </w:p>
    <w:p>
      <w:r>
        <w:t>IT: TF 8C_649/2019 del 4 novembre 2020</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481 f.;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p. 283).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s.; 142 V 26 consid. 1.2 p. 28 s.).</w:t>
      </w:r>
    </w:p>
    <w:p>
      <w:r>
        <w:rPr>
          <w:b/>
        </w:rPr>
        <w:t>E. 1.3</w:t>
      </w:r>
    </w:p>
    <w:p>
      <w:r>
        <w:t>En l'espèce, le jugement attaqué s'analyse comme une décision de renvoi qui, en tant qu'elle oblige la CNA à allouer les prestations d'assurance au-delà du 31 janvier 2018, ne laisse aucune latitude de jugement à l'assureur-accidents appelé à statuer à nouveau et doit donc être assimilée à une décision finale.</w:t>
      </w:r>
    </w:p>
    <w:p>
      <w:r>
        <w:rPr>
          <w:b/>
        </w:rPr>
        <w:t>E. 1.4</w:t>
      </w:r>
    </w:p>
    <w:p>
      <w:r>
        <w:t>Pour le surplus, 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reconnaître le droit de l'assurée à des prestations de l'assurance-accidents (indemnité journalière et frais de traitement) au-delà du 31 janvier 2018.</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w:t>
      </w:r>
    </w:p>
    <w:p>
      <w:r>
        <w:t>Dans la mesure où l'accident est survenu le 18 juillet 2017, la loi sur l'assurance-accidents (LAA) dans sa teneur en vigueur dès le 1er janvier 2017 s'applique au cas d'espèce (cf. par. 1 des dispositions transitoires sur la modification de la LAA du 25 septembre 2015, RO 2016 4375, 4388).</w:t>
      </w:r>
    </w:p>
    <w:p>
      <w:r>
        <w:rPr>
          <w:b/>
        </w:rPr>
        <w:t>E. 4.1</w:t>
      </w:r>
    </w:p>
    <w:p>
      <w:r>
        <w:t>Relevant que la déchirure tendineuse mise en évidence par l'IRM du 5 septembre 2017 entrait dans la liste des lésions assimilées à un accident selon l' art. 6 al. 2 LAA , les premiers juges ont considéré en substance que la CNA n'avait pas apporté la preuve que cette lésion fût due de manière prépondérante à l'usure ou à une maladie au sens de l' art. 6 al. 2 LAA , respectivement que le contexte dégénératif " prépondérant " n'était manifestement pas établi en l'espèce, à tout le moins pas par l'IRM du 5 septembre 2017, qui se contentait d'évoquer de modestes signes dégénératifs. A l'appui de cette considération, la cour cantonale a retenu, premièrement, que la CNA avait par deux fois changé de position quant à la qualification de l'évènement du 18 juillet 2017 et à ses conséquences, ce qui prouverait qu'il existe un doute. Deuxièmement, la recourante avait mis fin à ses prestations sur la base d'un raisonnement de type " statu quo sine ", lequel ne saurait intervenir en présence d'une lésion assimilée au sens de l' art. 6 al. 2 LAA . Troisièmement, les atteintes d'ordre dégénératif que la doctoresse D.________, spécialiste FMH en chirurgie et médecin-conseil de la recourante, retenait à l'appui de son raisonnement dans l'appréciation chirurgicale du 30 août 2018 n'étaient pas confirmées, dans leur ampleur, par l'IRM du 5 septembre 2017. Enfin, la CNA s'était elle-même distancée de l'avis de son médecin d'arrondissement en fixant la fin de ses prestations au 31 janvier 2018 en lieu et place du délai de trois à quatre mois retenu par ce dernier.</w:t>
      </w:r>
    </w:p>
    <w:p>
      <w:r>
        <w:rPr>
          <w:b/>
        </w:rPr>
        <w:t>E. 4.2</w:t>
      </w:r>
    </w:p>
    <w:p>
      <w:r>
        <w:t>La recourante se plaint principalement d'une violation de l' art. 6 al. 1 et 2 LAA . Elle soutient que l'on serait en présence d'un évènement accidentel satisfaisant pleinement aux conditions de l' art. 4 LPGA , ce qui appellerait un examen du droit de l'assuré aux prestations d'assurance en application de l' art. 6 al. 1 LAA . Ainsi, la considération de la cour cantonale selon laquelle l'assureur-accidents, en présence d'atteintes listées à l' art. 6 al. 2 LAA , ne saurait systématiquement invoquer un " statu quo sine " pour refuser la prise en charge d'un traitement serait critiquable. On ne saurait reprocher à la CNA, après qu'elle eut constaté l'origine dégénérative des lésions tendineuses mises en évidence par l'IRM du 5 septembre 2017, d'avoir retenu un " statu quo sine " après trois à quatre mois et d'avoir ainsi mis fin à ses prestations au 31 janvier 2018. Au demeurant, toujours selon la recourante, même si le droit de l'intimée aux prestations d'assurance devait être examiné en application de l' art. 6 al. 2 LAA , l'analyse de l'origine des lésions réalisée par l'autorité cantonale ne saurait être suivie.</w:t>
      </w:r>
    </w:p>
    <w:p>
      <w:r>
        <w:rPr>
          <w:b/>
        </w:rPr>
        <w:t>E. 5.1</w:t>
      </w:r>
    </w:p>
    <w:p>
      <w:r>
        <w:t>En l'espèce, l'IRM du 5 septembre 2017 a mis en évidence une tendinopathie avec déchirures partielles de deux tendons, de sorte que la lésion de l'intimée entre dans la liste de l' art. 6 al. 2 LAA .</w:t>
      </w:r>
    </w:p>
    <w:p>
      <w:r>
        <w:rPr>
          <w:b/>
        </w:rPr>
        <w:t>E. 5.2</w:t>
      </w:r>
    </w:p>
    <w:p>
      <w:r>
        <w:t>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et que l'assuré souffrait d'une lésion corporelle au sens de l' art. 6 al. 2 LAA . Il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p. 70).</w:t>
      </w:r>
    </w:p>
    <w:p>
      <w:r>
        <w:rPr>
          <w:b/>
        </w:rPr>
        <w:t>E. 5.3</w:t>
      </w:r>
    </w:p>
    <w:p>
      <w:r>
        <w:t>Dans sa décision du 7 novembre 2017, la recourante a nié sa responsabilité en concluant que les troubles de l'assurée n'étaient liés ni à un accident ni à une lésion assimilée. Cependant, saisie d'une opposition contre cette décision, elle a ensuite - à juste titre - admis que l'événement du 18 juillet 2017 était constitutif d'un accident au sens de l' art. 4 LPGA et a dès lors examiné le droit de l'intimée à des prestations d'assurance au regard de l' art. 6 al. 1 LAA . Dans son recours au tribunal cantonal, l'intimée, tout en exigeant que la situation fût analysée aussi à la lumière des règles spécifiques aux lésions corporelles de l' art. 6 al. 2 LAA , n'a pas mis en question cette qualification. Dès lors, la cause doit être étudiée exclusivement sous l'angle de l' art. 6 al. 1 LAA .</w:t>
      </w:r>
    </w:p>
    <w:p>
      <w:r>
        <w:rPr>
          <w:b/>
        </w:rPr>
        <w:t>E. 6</w:t>
      </w:r>
    </w:p>
    <w:p>
      <w:r>
        <w:t>Il convient ainsi d'examiner, au regard des principes exposés à l' ATF 146 V 51 , la question du lien de causalité entre les lésions constatées et l'accident du 18 juillet 2017.</w:t>
      </w:r>
    </w:p>
    <w:p>
      <w:r>
        <w:rPr>
          <w:b/>
        </w:rPr>
        <w:t>E. 6.1.1</w:t>
      </w:r>
    </w:p>
    <w:p>
      <w:r>
        <w:t>Aux termes de l' art. 6 al. 1 LAA , les prestations d'assurance sont allouées en cas d'accident professionnel, d'accident non professionnel et de maladie professionnelle. En relation avec les art. 10 et 16 LAA , cette disposition implique, pour l'ouverture du droit aux prestations, l'existence d'un rapport de causalité naturelle et adéquate entre l'accident, d'une part, et le traitement médical et l'incapacité de travail de la personne assurée, d'autre part (arrêts 8C_416/2019 du 15 juillet 2020 consid. 3.1; 8C_459/2019 du 11 septembre 2020 consid. 5.2.1; 8C_726/2008 du 14 mai 2009 consid. 2.1). Dans le domaine de l'assurance-accidents obligatoire, en cas d'atteinte à la santé physique, la causalité adéquate se recoupe largement avec la causalité naturelle, de sorte qu'elle ne joue pratiquement pas de rôle ( ATF 138 V 248 consid. 4 p. 250 s.).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 ATF 142 V 435 consid. 1 p. 438 et les arrêts citées; arrêt 8C_459/2019 du 11 septembre 2020 consid. 5.2.1).</w:t>
      </w:r>
    </w:p>
    <w:p>
      <w:r>
        <w:rPr>
          <w:b/>
        </w:rPr>
        <w:t>E. 6.1.2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 statu quo sine vel ante "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 statu quo ante " ou " statu quo sine ") selon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 ATF 146 V 51 consid. 5.1 et les arrêts cités; arrêt 8C_459/2019 du 11 septembre 2020 consid. 5.2.2).</w:t>
      </w:r>
    </w:p>
    <w:p>
      <w:r>
        <w:rPr>
          <w:b/>
        </w:rPr>
        <w:t>E. 6.1.3</w:t>
      </w:r>
    </w:p>
    <w:p>
      <w:r>
        <w:t>Savoir si l'événement assuré et l'atteinte en question sont liés par un rapport de causalité naturelle est une question de fait que l'administration, ou le cas échéant le juge, examine en se fondant essentiellement sur des renseignements d'ordre médical ( ATF 142 V 435 consid. 1 p. 438 et les références citées). Selon la jurisprudence,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 citées).</w:t>
      </w:r>
    </w:p>
    <w:p>
      <w:r>
        <w:rPr>
          <w:b/>
        </w:rPr>
        <w:t>E. 6.2.1</w:t>
      </w:r>
    </w:p>
    <w:p>
      <w:r>
        <w:t>En l'occurrence, d'après le docteur C.________, il faut admettre que l'accident n'a pas entraîné de lésion structurelle. Comme évoqué par le professeur E.________, spécialiste FMH en chirurgie orthopédique et traumatologie de l'appareil locomoteur, l'assurée présente une tendinitis calcarea (tendinite calcifiante) du subscapulaire, soit une atteinte dégénérative du tendon. L'accident a tout au plus aggravé de manière transitoire un état antérieur et a, au plus tard trois ou quatre mois après, cessé de déployer ses effets.</w:t>
      </w:r>
    </w:p>
    <w:p>
      <w:r>
        <w:t>De son coté, le médecin traitant, le docteur F.________, spécialiste FMH en chirurgie orthopédique, est d'avis que l'on est en présence d'une rupture traumatique de l'intervalle des rotateurs avec lésion du bord supérieur du subscapulaire, subluxation du long chef du biceps et une atteinte des fibres antérieures du sus-épineux, en lien causal avec l'accident. Il relève que sur l'IRM du 5 septembre 2017, on observe une coiffe des rotateurs en très bon état avec des corps musculaires bien charnus sans signe de lésion dégénérative. Par rapport au diagnostic de tendinitis calcarea, il retient dans son rapport du 27 avril 2018 que les calcifications devraient logiquement être visibles sur ledit examen IRM, ce qui n'est pas le cas. Il rappelle qu'une infiltration a été effectuée le 8 septembre 2017 et que les dépôts mis en place lors de l'infiltration peuvent tout à fait être confondus avec des calcifications en décours de par leur structure cristalline, ce qui peut expliquer l'image ultrasonographique qu'a eue le professeur E.________ en consultation.</w:t>
      </w:r>
    </w:p>
    <w:p>
      <w:r>
        <w:t>Dès lors que l'assurée a produit l'avis médical du docteur F.________ dans la procédure cantonale, la CNA a elle-même requis une prise de position circonstanciée de sa division de médecine des assurances. La doctoresse D.________ retient dans son appréciation chirurgicale du 30 août 2018 qu'il est évident que les tendinopathies de l'épaule droite objectivées chez l'assurée lors de l'IRM du 5 septembre 2017 sont bien antérieures au 18 juillet 2017 et qu'elles sont dues à une usure/maladie de son épaule droite sous forme d'une dégénérescence de toutes les structures (tendons - os). Elle mentionne ensuite qu'elle visualise sur l'IRM des remaniements ostéophytaires de l'acromion droit et rappelle qu'un ostéophyte est le témoin de la présence d'arthrose, laquelle est bien entendu d'origine maladive. A la remarque du docteur F.________ que l'IRM montre une coiffe des rotateurs en très bon état avec des corps musculaires bien charnus sans signe de lésion dégénérative, elle réplique que cet état de fait ne surprend pas, puisque l'assurée présente des déchirures seulement partielles du tendon de ses muscles supra-épineux et subscapulaire et que, selon la littérature, il n'apparaît une dégénération musculaire (infiltration graisseuse) qu'en présence d'une rupture tendineuse totale. La doctoresse D.________ expose aussi que le kyste, également visualisé dans l'IRM du 5 septembre 2017, permet de confirmer que les déchirures partielles étaient déjà présentes au moment de l'accident du 18 juillet 2017, un kyste synovial post-traumatique ayant besoin de trois mois pour se développer. Finalement, la doctoresse D.________ n'objective aucun stigmate - calcification - sur l'IRM qui lui permettrait de retenir une tendinitis calcarea.</w:t>
      </w:r>
    </w:p>
    <w:p>
      <w:r>
        <w:t>Dans son courrier du 19 octobre 2018, le docteur F.________ répète qu'il y a une absence de lésion dégénérative au niveau de l'articulation acromio-claviculaire, gléno-humérale et de la coiffe des rotateurs et que les lésions subies sont d'ordre traumatique.</w:t>
      </w:r>
    </w:p>
    <w:p>
      <w:r>
        <w:rPr>
          <w:b/>
        </w:rPr>
        <w:t>E. 6.2.2</w:t>
      </w:r>
    </w:p>
    <w:p>
      <w:r>
        <w:t>Il appert ainsi que le docteur F.________ retient un lien de causalité en l'absence de toute lésion dégénérative, mais ne s'exprime ni sur la présence d'un kyste synovial et d'une petite arthrose acromio-claviculaire, ni sur la chronicité de la tendinopathie du tendon du sus-épineux. Toutefois, il ressort des explications de la doctoresse D.________ que ces éléments indiquent l'origine dégénérative ou maladive des lésions de l'intimée. Au surplus, dans son courrier du 19 octobre 2018, le médecin traitant ne prend pas position sur l'appréciation détaillée et basée sur la littérature de la médecin-consultant. Dépourvus de toute explication circonstanciée et convaincante, les propos du docteur F.________ ne suffisent donc pas pour mettre en doute la fiabilité et la pertinence des constatations de la doctoresse D.________ (cf. arrêt 8C_45/2018 du 17 décembre 2018 consid. 5). Le fait que cette dernière ne confirme pas le diagnostic de tendinitis calcarea ne met pas non plus en doute la conclusion du docteur C.________ que l'évènement accidentel n'a aggravé que temporairement un état maladif préexistant.</w:t>
      </w:r>
    </w:p>
    <w:p>
      <w:r>
        <w:t>Comme on l'a vu (cf. consid. 4.1 supra), la cour cantonale a considéré que selon le médecin d'arrondissement le " statu quo sine " avait été atteint trois à quatre mois après l'évènement accidentel, à savoir à la fin du mois de novembre 2017 au plus tard, et qu'en fixant ce " statu quo sine " à la fin du mois de janvier 2018, la CNA s'était écartée de manière insoutenable des conclusions du médecin d'arrondissement. La recourante démontre toutefois qu'elle n'a pu se prononcer sur le droit aux prestations qu'après avoir connu les avis du médecin traitant et du médecin d'arrondissement, quand bien même l'accident avait cessé de déployer ses effets délétères au plus tard le 18 novembre 2017. Elle a clos le cas au 31 janvier 2018 et a renoncé à demander le remboursement des prestations versées au-delà du 18 novembre 2017. Par conséquent - et contrairement à ce que soutient l'intimée -, elle avait le droit de mettre fin avec effet ex nunc et pro futuro à son obligation de prester, qu'elle avait initialement reconnue, sans devoir se fonder sur un motif de révocation (reconsidération ou révision procédurale; arrêt 8C_22/2019 du 24 septembre 2019 consid. 3, non publié in ATF 146 V 51 mais in SVR 2020 UV n° 8 p. 23; ATF 130 V 380 ).</w:t>
      </w:r>
    </w:p>
    <w:p>
      <w:r>
        <w:rPr>
          <w:b/>
        </w:rPr>
        <w:t>E. 7</w:t>
      </w:r>
    </w:p>
    <w:p>
      <w:r>
        <w:t>Il résulte de ce qui précède que le recours, fondé, doit être admis dans ses conclusions principales. 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