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8C_648/2025 vom 1. Dezember 2025</w:t>
      </w:r>
    </w:p>
    <w:p>
      <w:r>
        <w:t>Bundesgericht, 2025-12-01, FR</w:t>
      </w:r>
    </w:p>
    <w:p>
      <w:r>
        <w:rPr>
          <w:b/>
        </w:rPr>
        <w:t xml:space="preserve">Quelle: </w:t>
      </w:r>
      <w:r>
        <w:t>https://mcp.opencaselaw.ch/entscheid/bger_8C_648_2025</w:t>
      </w:r>
    </w:p>
    <w:p>
      <w:r>
        <w:t>FR: TF 8C_648/2025 du 1 décembre 2025</w:t>
      </w:r>
    </w:p>
    <w:p>
      <w:r>
        <w:t>IT: TF 8C_648/2025 del 1 dicembre 2025</w:t>
      </w:r>
    </w:p>
    <w:p>
      <w:pPr>
        <w:pStyle w:val="Heading2"/>
      </w:pPr>
      <w:r>
        <w:t>Erwägungen</w:t>
      </w:r>
    </w:p>
    <w:p>
      <w:r>
        <w:rPr>
          <w:b/>
        </w:rPr>
        <w:t>E. 1</w:t>
      </w:r>
    </w:p>
    <w:p>
      <w:r>
        <w:t>Par arrêt du 16 septembre 2025, la Cour de droit administratif et public du Tribunal cantonal du canton de Vaud a rejeté le recours formé par A.________ contre une décision sur recours de la Direction générale de la cohésion sociale du 2 avril 2025.</w:t>
      </w:r>
    </w:p>
    <w:p>
      <w:r>
        <w:rPr>
          <w:b/>
        </w:rPr>
        <w:t>E. 2</w:t>
      </w:r>
    </w:p>
    <w:p>
      <w:r>
        <w:t>A.________ a formé un recours contre cet arrêt, qu'il a déposé le 3 novembre 2025, en mains propres, au Tribunal fédéral. Il a demandé le bénéfice de l'assistance judiciaire ainsi que l'octroi de l'effet suspensif à son recours. Il a déposé par la suite des écritures complémentaires et requis des mesures provisionnelles.</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5</w:t>
      </w:r>
    </w:p>
    <w:p>
      <w:r>
        <w:t>En l'espèce, il ressort du système de suivi des envois mis en place par La Poste Suisse que le recourant a retiré le pli recommandé contenant l'arrêt attaqué le jeudi 18 septembre 2025. Le délai de recours de trente jours contre cet arrêt a commencé à courir le lendemain, vendredi 19 septembre 2025, pour arriver à échéance le lundi 20 octobre 2025. Il s'ensuit que le recours, déposé le 3 novembre 2025, est tardif.</w:t>
      </w:r>
    </w:p>
    <w:p>
      <w:r>
        <w:rPr>
          <w:b/>
        </w:rPr>
        <w:t>E. 6</w:t>
      </w:r>
    </w:p>
    <w:p>
      <w:r>
        <w:t>Au vu de ce qui précède, le recours doit être déclaré irrecevable et traité selon la procédure simplifiée prévue à l' art. 108 al. 1 let. a et al. 2 LTF .</w:t>
      </w:r>
    </w:p>
    <w:p>
      <w:r>
        <w:rPr>
          <w:b/>
        </w:rPr>
        <w:t>E. 7</w:t>
      </w:r>
    </w:p>
    <w:p>
      <w:r>
        <w:t>Au regard des circonstances, il convient exceptionnellement de renoncer à percevoir des frais judiciaires (art. 66 al. 1, deuxième phrase, LTF). Dans cette mesure, la requête d'assistance judiciaire est sans objet. En tant qu'elle vise la désignation d'un avocat, elle doit être rejetée, faute de chances de succès du recours ( art. 64 al. 1 LTF ).</w:t>
      </w:r>
    </w:p>
    <w:p>
      <w:r>
        <w:rPr>
          <w:b/>
        </w:rPr>
        <w:t>E. 8</w:t>
      </w:r>
    </w:p>
    <w:p>
      <w:r>
        <w:t>Le présent arrêt rend sans objet la demande d'effet suspensif et de mesures provisionnelles qui assortissent le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