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8C_648/2023 vom 8. November 2023</w:t>
      </w:r>
    </w:p>
    <w:p>
      <w:r>
        <w:t>Bundesgericht, 2023-11-08, DE</w:t>
      </w:r>
    </w:p>
    <w:p>
      <w:r>
        <w:rPr>
          <w:b/>
        </w:rPr>
        <w:t xml:space="preserve">Quelle: </w:t>
      </w:r>
      <w:r>
        <w:t>https://mcp.opencaselaw.ch/entscheid/bger_8C_648_2023</w:t>
      </w:r>
    </w:p>
    <w:p>
      <w:r>
        <w:t>FR: TF 8C_648/2023 du 8 novembre 2023</w:t>
      </w:r>
    </w:p>
    <w:p>
      <w:r>
        <w:t>IT: TF 8C_648/2023 del 8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18. September 2023 die von der Beschwerdegegnerin bei der Bemessung des Anspruchs auf Ergänzungsleistungen des Beschwerdeführers ab 1. Juni 2022 vollzogene Aufrechnung eines hypothetischen Erwerbseinkommens von jährlich Fr. 26'147.-, davon Fr. 16'764.- anrechenbar. Dabei legte es näher dar, weshalb die Vorbringen und beigebrachten Beweismittel des Beschwerdeführers nicht ausreichen, um die gesetzliche Vermutung des "freiwilligen" Vermögensverzichts nach Art. 11a Abs. 1 ELG umzustossen.</w:t>
      </w:r>
    </w:p>
    <w:p>
      <w:r>
        <w:rPr>
          <w:b/>
        </w:rPr>
        <w:t>E. 3</w:t>
      </w:r>
    </w:p>
    <w:p>
      <w:r>
        <w:t>Zwar kritisiert der Beschwerdeführer die von der Vorinstanz dabei vorgenommene Beweiswürdigung, indessen lediglich appellatorisch. Inwiefern diese zu offensichtlich unrichtigen Feststellungen gelangt, mithin willkürlich oder sonstwie bundesrechtswidrig sein soll, legt er nicht näher dar.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