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648/2019 vom 4. Juni 2020</w:t>
      </w:r>
    </w:p>
    <w:p>
      <w:r>
        <w:t>Bundesgericht, 2020-06-04, DE</w:t>
      </w:r>
    </w:p>
    <w:p>
      <w:r>
        <w:rPr>
          <w:b/>
        </w:rPr>
        <w:t xml:space="preserve">Quelle: </w:t>
      </w:r>
      <w:r>
        <w:t>https://mcp.opencaselaw.ch/entscheid/bger_8C_648_2019</w:t>
      </w:r>
    </w:p>
    <w:p>
      <w:r>
        <w:t>FR: TF 8C 648/2019 du 4 juin 2020</w:t>
      </w:r>
    </w:p>
    <w:p>
      <w:r>
        <w:t>IT: TF 8C 648/2019 del 4 giugno 2020</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2</w:t>
      </w:r>
    </w:p>
    <w:p>
      <w:r>
        <w:t>Streitig ist, ob die Vorinstanz Bundesrecht verletzt hat, indem sie einen Rentenanspruch der Beschwerdegegnerin über den 31. Dezember 2016 hinaus bejahte. Im Zentrum steht dabei die Frage der Zumutbarkeit der Selbsteingliederung.</w:t>
      </w:r>
    </w:p>
    <w:p>
      <w:r>
        <w:rPr>
          <w:b/>
        </w:rPr>
        <w:t>E. 3.1</w:t>
      </w:r>
    </w:p>
    <w:p>
      <w:r>
        <w:t>Nach unbestrittener vorinstanzlicher Feststellung war die Beschwerdegegnerin aufgrund ihrer Schulterbeschwerden ab September 2014 in jeglicher Tätigkeit zu 100 % arbeitsunfähig. In der Folge habe sich ihr Gesundheitszustand wieder verbessert. Seit spätestens September 2016 sei von einer 70%igen Arbeitsfähigkeit in der angestammten und im 70 %-Pensum ausgeübten Tätigkeit auszugehen. Das kantonale Gericht schloss daraus auf einen Invaliditätsgrad von höchstens 30 %, weshalb die IV-Stelle zu Recht eine befristete ganze Invalidenrente von Oktober 2015 (6 Monate nach der Neuanmeldung vom April 2015; vgl. Art. 29 Abs. 1 IVG ) bis Dezember 2016 (Zeitpunkt Verbesserung plus 3 Monate; vgl. Art. 88a Abs. 1 IVV ) zugesprochen habe. In diesem Punkt sind sich die Parteien einig. Für eine abweichende Beurteilung besteht vorliegend mangels offensichtlicher Fehler kein Anlass, weshalb sich hierzu Weiterungen erübrigen (vgl. E. 1.1 hiervor).</w:t>
      </w:r>
    </w:p>
    <w:p>
      <w:r>
        <w:rPr>
          <w:b/>
        </w:rPr>
        <w:t>E. 3.2</w:t>
      </w:r>
    </w:p>
    <w:p>
      <w:r>
        <w:t>Umstritten ist dagegen, ob die Vorinstanz zu Recht die Zumutbarkeit der Selbsteingliederung verneint und die IV-Stelle dazu verpflichtet hat, vor einer Rentenaufhebung die Eingliederungsfrage zu prüfen.</w:t>
      </w:r>
    </w:p>
    <w:p>
      <w:r>
        <w:rPr>
          <w:b/>
        </w:rPr>
        <w:t>E. 4.1</w:t>
      </w:r>
    </w:p>
    <w:p>
      <w:r>
        <w:t>Rechtsprechungsgemäss ist eine verbesserte oder neu festgestellte Arbeitsfähigkeit grundsätzlich auf dem Weg der Selbsteingliederung zu verwerten (vgl. statt vieler: Urteil 9C_473/2019 vom 25. Februar 2020 E. 5.2.1 mit Hinweis). Bei Personen, deren Rente revisionsweise herabgesetzt oder aufgehoben werden soll, sind nach mindestens 15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 BGE 145 V 209 E. 5.1 S. 211 mit zahlreichen Hinweisen).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(dazu und zum Folgenden: BGE 145 V 209 E. 5.1 S. 211 f. mit Hinweisen).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w:t>
      </w:r>
    </w:p>
    <w:p>
      <w:r>
        <w:rPr>
          <w:b/>
        </w:rPr>
        <w:t>E. 4.2</w:t>
      </w:r>
    </w:p>
    <w:p>
      <w:r>
        <w:t>Die Rechtsprechung, wonach bei der revisionsweisen Herabsetzung oder Aufhebung der Invalidenrente bei zurückgelegtem 55. Altersjahr grundsätzlich Eingliederungsmassnahmen durchzuführen sind, findet auch dann Anwendung, wenn - wie hier - zeitgleich mit der Rentenzusprache rückwirkend über deren Befristung befunden wird ( BGE 145 V 209 E. 5.2-5.4 S. 212 ff.).</w:t>
      </w:r>
    </w:p>
    <w:p>
      <w:r>
        <w:rPr>
          <w:b/>
        </w:rPr>
        <w:t>E. 5.1</w:t>
      </w:r>
    </w:p>
    <w:p>
      <w:r>
        <w:t>Soweit die IV-Stelle für die Frage der Zumutbarkeit der Selbsteingliederung den Zeitpunkt des Feststehens der medizinischen Zumutbarkeit einer (Teil-) Erwerbstätigkeit als massgeblich erachtet, kann sie daraus nichts zu ihren Gunsten ableiten, stand doch die medizinische Zumutbarkeit (erst) mit der Erstattung des bidisziplinären Gutachtens der E.________ AG vom 3. November 2016 fest (vgl. BGE 138 V 457 E. 3.4 S. 462; vgl. auch Urteil 9C_797/2019 vom 6. Januar 2020 E. 4). Zu diesem Zeitpunkt hat die am 10. Oktober 1961 geborene Versicherte das 55. Altersjahr bereits zurückgelegt. Auch im Zeitpunkt der Verfügung selbst (7. Februar 2019) und dem darin festgelegten Zeitpunkt der Rentenaufhebung (per 31. Dezember 2016) hat die Beschwerdegegnerin die entsprechende Schwelle überschritten. Insoweit kann vorliegend letztlich offen bleiben (wie bereits im BGE 145 V 209 E. 5.4 in fine S. 214 und im Urteil 9C_574/2019 vom 16. Oktober 2019 E. 3.2), welches der für die Ermittlung des Eckwerts des 55. Altersjahres massgebliche Zeitpunkt sein soll. Wie die Vorinstanz richtig erkannt hat, ist der Versicherten die Selbsteingliederung rechtsprechungsgemäss grundsätzlich ("vermutungsweise") unzumutbar ( BGE 145 V 209 E. 5.1 S. 211).</w:t>
      </w:r>
    </w:p>
    <w:p>
      <w:r>
        <w:rPr>
          <w:b/>
        </w:rPr>
        <w:t>E. 5.2.1</w:t>
      </w:r>
    </w:p>
    <w:p>
      <w:r>
        <w:t>Die Beschwerdeführerin bringt weiter vor, dass lediglich während zwei Jahren (September 2014 bis September 2016) eine medizinisch begründete Arbeitsunfähigkeit bestanden habe und nur ein kurzer Rentenbezug vorliege. Eine lange Abwesenheit vom Arbeitsmarkt lasse sich somit nicht begründen. Zudem liege mit 70 % eine hohe Restarbeitsfähigkeit sowie eine lange verbleibende Erwerbsdauer von 9 Jahren vor. Hinzu komme, dass die Beschwerdegegnerin im Laufe ihrer Berufsbiographie bei verschiedenen Arbeitgebern tätig gewesen sei, was für eine Anpassungsfähigkeit spreche.</w:t>
      </w:r>
    </w:p>
    <w:p>
      <w:r>
        <w:rPr>
          <w:b/>
        </w:rPr>
        <w:t>E. 5.2.2</w:t>
      </w:r>
    </w:p>
    <w:p>
      <w:r>
        <w:t>Damit vermag die IV-Stelle indessen keine offensichtlich unrichtige Sachverhaltsfeststellung der Vorinstanz oder eine sonstige Bundesrechtsverletzung darzutun. So steht vorliegend nicht ein langjähriger Rentenbezug im Blickpunkt, sondern es geht um eine Versicherte, die im Zeitpunkt der Berentung bei gleichzeitiger Aufhebung des Anspruchs das Alter von 55 Jahren bereits erreicht hat. Insoweit kann die Verwaltung aus einer kurzen Rentenbezugsdauer nichts zu ihren Gunsten ableiten. Dass die Beschwerdegegnerin aus invaliditätsfremden Gründen dem Arbeitsmarkt ferngeblieben sein soll, behauptet die IV-Stelle zu Recht nicht. Aus den übrigen Vorbringen ergibt sich sodann nicht, inwiefern die Versicherte dem von der einschlägigen Rechtsprechung skizzierten Bild einer besonders agilen und gewandten sowie im gesellschaftlichen Leben integrierten Person oder einer solchen mit besonders breiten Ausbildungen und Berufserfahrungen entsprechen soll (vgl. E. 4.1 hiervor). Vielmehr hat die Vorinstanz im Ergebnis zu Recht erkannt, dass das Selbsteingliederungspotenzial der Beschwerdegegnerin nicht ein Ausmass erreicht, welches die IV-Organe von der Prüfung und allenfalls der Durchführung von Eingliederungsmassnahmen enthoben hätte. Nach den weiteren Feststellungen der Vorinstanz hat die Beschwerdegegnerin mehrfach auf die Notwendigkeit von Eingliederungsmassnahmen hingewiesen und sich im kantonalen Beschwerdeverfahren gewillt gezeigt, an solchen teilzunehmen. Es könne somit nicht davon ausgegangen werden, dass die Eingliederung mangels Interesses der Versicherten nicht erfolgsversprechend sei. Allein die Tatsache, dass sie sich gemäss den ärztlichen Berichten subjektiv nicht arbeitsfähig fühle, lasse diesen Schluss jedenfalls nicht zu. Wenn das kantonale Gericht vor diesem Hintergrund eine subjektive Eingliederungsunfähigkeit verneint hat, so ist dies weder offensichtlich unrichtig noch sonstwie bundesrechtswidrig (vgl. E. 1.1 hiervor).</w:t>
      </w:r>
    </w:p>
    <w:p>
      <w:r>
        <w:rPr>
          <w:b/>
        </w:rPr>
        <w:t>E. 5.3</w:t>
      </w:r>
    </w:p>
    <w:p>
      <w:r>
        <w:t>Nach dem Gesagten ist die Vorinstanz zu Recht von der Unzumutbarkeit der Selbsteingliederung ausgegangen. Da die Aufhebung der Rente erst nach Durchführung von Eingliederungsmassnahmen erfolgen kann, ist auch nicht zu beanstanden, dass die Vorinstanz die IV-Stelle zur Weiterausrichtung der Rente verpflichtet hat (vgl. Urteil 8C_80/2020 vom 19. Mai 2020 E. 2.3.3 und E. 4). Dies bedeutet nicht, dass sich die versicherte Person auf eine Bestandesgarantie berufen kann, sondern lediglich, dass ihr zugestanden wird, dass ihre Rente erst nach Prüfung und Durchführung von Eingliederungsmassnahmen eingestellt wird ( BGE 141 V 5 E. 4.2.2 S. 8 mit Hinweisen). Die Beschwerde der IV-Stelle ist demnach unbegründet und abzuweisen.</w:t>
      </w:r>
    </w:p>
    <w:p>
      <w:r>
        <w:rPr>
          <w:b/>
        </w:rPr>
        <w:t>E. 6</w:t>
      </w:r>
    </w:p>
    <w:p>
      <w:r>
        <w:t>Mit dem Entscheid in der Sache wird das Gesuch um aufschiebende Wirkung gegenstandslos.</w:t>
      </w:r>
    </w:p>
    <w:p>
      <w:r>
        <w:rPr>
          <w:b/>
        </w:rPr>
        <w:t>E. 7</w:t>
      </w:r>
    </w:p>
    <w:p>
      <w:r>
        <w:t>Entsprechend dem Ausgang des Verfahrens hat die Beschwerdeführerin die Gerichtskosten zu tragen ( Art. 66 Abs. 1 Satz 1 BGG ) und der Beschwerdegegnerin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