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8C_648/2007 vom 2. Juli 2008</w:t>
      </w:r>
    </w:p>
    <w:p>
      <w:r>
        <w:t>Bundesgericht, 2008-07-02, DE</w:t>
      </w:r>
    </w:p>
    <w:p>
      <w:r>
        <w:rPr>
          <w:b/>
        </w:rPr>
        <w:t xml:space="preserve">Quelle: </w:t>
      </w:r>
      <w:r>
        <w:t>https://mcp.opencaselaw.ch/entscheid/bger_8C_648_2007</w:t>
      </w:r>
    </w:p>
    <w:p>
      <w:r>
        <w:t>FR: TF 8C_648/2007 du 2 juillet 2008</w:t>
      </w:r>
    </w:p>
    <w:p>
      <w:r>
        <w:t>IT: TF 8C_648/2007 del 2 luglio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15 Abs. 1 UVG werden Taggelder und Renten nach dem versicherten Verdienst bemessen. Als versicherter Verdienst gilt für die Bemessung der Taggelder der letzte vor dem Unfall bezogene Lohn, für die Bemessung der Renten der innerhalb eines Jahres vor dem Unfall bezogene Lohn ( Art. 15 Abs. 2 UVG ). Als versicherter Verdienst gilt im Regelfall der nach dem Bundesgesetz über die AHV massgebende Lohn ( Art. 22 Abs. 2 UVV ). Gestützt auf die in Art. 15 Abs. 3 UVG eingeräumte Delegationskompetenz hat der Bundesrat unter dem Titel "versicherter Verdienst" in Art. 22 Abs. 2 - 4 UVV Sonderregeln erlassen, nach denen bei bestimmten Sachverhalten von der Grundregel der Bemessung des versicherten Verdienstes nach dem AHV-rechtlich massgebenden Lohn abzuweichen ist. Diese Sonderregeln bezwecken, die Versicherten vor unbilligen Nachteilen zu schützen, die sich aus der Anwendung der Grundregel bei bestimmten arbeitsrechtlichen Konstellationen ergeben würden (Alfred Maurer, Schweizerisches Unfallversicherungsrecht, Bern 1985, S. 326).</w:t>
      </w:r>
    </w:p>
    <w:p>
      <w:r>
        <w:rPr>
          <w:b/>
        </w:rPr>
        <w:t>E. 3.1</w:t>
      </w:r>
    </w:p>
    <w:p>
      <w:r>
        <w:t>Streitig und zu prüfen ist einzig die Bemessung des versicherten Verdienstes für Taggeldleistungen. Während die Beschwerde führende Unfallversicherung argumentiert, dieser bemesse sich nach dem zuletzt bezogenen Lohn, halten das kantonale Gericht und die Versicherte dafür, es sei zu berücksichtigen, dass sie in jenem Monat - ausnahmsweise - weniger verdient habe, da sie während zwei Wochen unbezahlten Urlaub bezogen hatte.</w:t>
      </w:r>
    </w:p>
    <w:p>
      <w:r>
        <w:rPr>
          <w:b/>
        </w:rPr>
        <w:t>E. 3.2</w:t>
      </w:r>
    </w:p>
    <w:p>
      <w:r>
        <w:t>Massgebend für die nach der abstrakten Methode erfolgende Berechnung des Taggeldes ist nicht der mutmasslich entgangene Verdienst, sondern jener, den die versicherte Person vor dem Unfall bezogen hat. Das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eine versicherte Person einen Unfall zufälligerweise in einer Tief- oder eventuell gar einer Nichtlohnphase im Rahmen der bislang ausgeübten Erwerbstätigkeit erleidet ( BGE 128 V 298 E. 2b/aa S. 300). Ereignet sich ein Unfall während eines seit längerer Zeit dauernden Arbeitsverhältnisses, birgt die Beurteilung, ob der Lohn starken Schwankungen gemäss Art. 23 Abs. 3 UVV unterliegt, keine grösseren Probleme. Anzuknüpfen ist an die in der Vergangenheit erzielten Entgelte ( BGE 128 V 298 E. 2b/bb S. 301).</w:t>
      </w:r>
    </w:p>
    <w:p>
      <w:r>
        <w:rPr>
          <w:b/>
        </w:rPr>
        <w:t>E. 3.3</w:t>
      </w:r>
    </w:p>
    <w:p>
      <w:r>
        <w:t>Das Eidgenössische Versicherungsgericht (heute: Bundesgericht) hat bereits im Jahre 1988 hinsichtlich der Bemessung des versicherten Verdienstes für Renten festgehalten, dass ein Versicherter, der innerhalb eines Jahres vor dem Unfall unbezahlten Urlaub bezog, Anspruch auf Umrechnung auf einen vollen Jahreslohn hat ( BGE 114 V 113 ). Dasselbe hat auch für die Bemessung des Taggeldes zu gelten. Das ergibt sich unter anderem auch aus Sicht des Äquivalenzprinzips, wonach sich Nettoprämien und Versicherungsleistungen die Waage halten sollen (vgl. Franz Fischer, Problemfälle des versicherten Verdienstes gemäss UVG, in Schaffhauser/Schlauri [Hrsg.], Sozialversicherungsrechtstagung 2006, S. 153, mit Hinweisen). Es handelt sich um einen typischen Fall, bei dem die versicherte Person zufälligerweise in einer Tieflohnphase einen Unfall erleidet.</w:t>
      </w:r>
    </w:p>
    <w:p>
      <w:r>
        <w:t>Der vorliegende Sachverhalt zeigt dies exemplarisch. Wäre die Versicherte vor der Lohnzahlung des Monats November verunfallt, wäre der "letzte vor dem Unfall bezogene Lohn" ( Art. 22 Abs. 3 UVV ) derjenige des Monats Oktober gewesen, in dem sie den ordentlichen Lohn bezogen hatte. Der Umstand allein, dass der Unfall nach dem 25. des Monats erfolgte (an welchem Tag üblicherweise Lohnzahlungen erfolgen), darf keinen Einfluss auf die Höhe des Taggeldes während der ganzen Bezugsdauer haben. Die beschwerdeführerische Sicht hätte gar zur Folge, dass einem Versicherten, der einen Monat vor dem Unfall unbezahlten Urlaub und daher keinen Lohn bezogen hatte, kein Taggeldanspruch zukommt. Die offensichtliche Fehlinterpretation rührt aus dem Missverständnis von Art. 23 Abs. 3 UVV . Die in dieser Bestimmung verwendete Formulierung "Lohn mit starken Schwankungen" umfasst auch eine einmalige "Schwankung" oder eben einmalige tiefere, aber auch höhere Lohnzahlungen - beispielsweise Dienstaltersgeschenke, Geburts- und Heiratszulagen und Ähnliches -, als sie üblicherweise erfolgen.</w:t>
      </w:r>
    </w:p>
    <w:p>
      <w:r>
        <w:t>Zusammenfassend hat das kantonale Gericht den versicherten Verdienst für den Taggeldanspruch zu Recht auf Fr. 67'640.- und damit die Höhe des Taggeldes auf Fr. 148.25 festgesetzt. Daran vermögen die Ausführungen in der Beschwerdeschrift nichts zu ändern.</w:t>
      </w:r>
    </w:p>
    <w:p>
      <w:r>
        <w:rPr>
          <w:b/>
        </w:rPr>
        <w:t>E. 4</w:t>
      </w:r>
    </w:p>
    <w:p>
      <w:r>
        <w:t>Als unterliegende Partei hat die Unfallversicherung Stadt Zürich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