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8C_647/2024 vom 21. November 2024</w:t>
      </w:r>
    </w:p>
    <w:p>
      <w:r>
        <w:t>Bundesgericht, 2024-11-21, DE</w:t>
      </w:r>
    </w:p>
    <w:p>
      <w:r>
        <w:rPr>
          <w:b/>
        </w:rPr>
        <w:t xml:space="preserve">Quelle: </w:t>
      </w:r>
      <w:r>
        <w:t>https://mcp.opencaselaw.ch/entscheid/bger_8C_647_2024</w:t>
      </w:r>
    </w:p>
    <w:p>
      <w:r>
        <w:t>FR: TF 8C_647/2024 du 21 novembre 2024</w:t>
      </w:r>
    </w:p>
    <w:p>
      <w:r>
        <w:t>IT: TF 8C_647/2024 del 21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24. September 2024 den Einspracheentscheid des Beschwerdegegners vom 10. Juni 2024 und erörterte dabei in Würdigung der Parteivorbringen und Beweismittel sowie unter Verweis auf die massgeblichen Gesetzesbestimmungen und die Rechtsprechung ( Art. 32 Abs. 1 und Art. 33 Abs. 1 AVIG ; BGE 138 V 333 E. 4.2.2; 123 V 235 E. 7a; 121 V 373 E. 2a; je mit Hinweisen), weshalb der geltend gemachte Arbeitsausfall nicht zum Bezug von Kurzarbeitsentschädigungen berechtigt.</w:t>
      </w:r>
    </w:p>
    <w:p>
      <w:r>
        <w:rPr>
          <w:b/>
        </w:rPr>
        <w:t>E. 3</w:t>
      </w:r>
    </w:p>
    <w:p>
      <w:r>
        <w:t>Die Vorbringen der Beschwerdeführerin gehen nicht über eine letztinstanzlich unzulässige appellatorische Kritik hinaus. Allein auf die 40 Jahre Berufserfahrung zu verweisen, welche sie in die Lage versetze, Markt- und Geschäftsentwicklungen abzuschätzen, reicht genau so wenig aus, wie geltend zu machen, den Antrag auf Kurzarbeitsentschädigung nach bestem Wissen und Gewissen gestellt zu haben, um Arbeitsplätze erhalten zu können. Inwiefern das von der Vorinstanz dazu Erwogene rechtsfehlerhaft sein soll, ist damit nicht dargetan.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nochmals (bereits so: Urteil 8C_186/2023 vom 5. April 2023) auf die Erhebung von Gerichtskosten verzichtet. Indessen darf die Beschwerdeführerin bei gleichbleibenden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