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647/2015 vom 26. November 2015</w:t>
      </w:r>
    </w:p>
    <w:p>
      <w:r>
        <w:t>Bundesgericht, 2015-11-26, DE</w:t>
      </w:r>
    </w:p>
    <w:p>
      <w:r>
        <w:rPr>
          <w:b/>
        </w:rPr>
        <w:t xml:space="preserve">Quelle: </w:t>
      </w:r>
      <w:r>
        <w:t>https://mcp.opencaselaw.ch/entscheid/bger_8C_647_2015</w:t>
      </w:r>
    </w:p>
    <w:p>
      <w:r>
        <w:t>FR: TF 8C 647/2015 du 26 novembre 2015</w:t>
      </w:r>
    </w:p>
    <w:p>
      <w:r>
        <w:t>IT: TF 8C 647/2015 del 26 novembre 2015</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werden die für die Beurteilung der Streitsache massgebenden rechtlichen Grundlagen, namentlich betreffend den für den Leistungsanspruch nebst anderem vorausgesetzten natürlichen Kausalzusammenhang zwischen dem Unfall und dem eingetretenen Gesundheitsschaden ( BGE 129 V 177 E. 3.1 S. 181 mit Hinweisen), insbesondere auch bei Rückfällen und Spätfolgen (RKUV 1997 Nr. U 275 S. 191, U 93/96, E. 1c in fine, 1994 Nr. U 206 S. 328, U 180/93, E. 3b) zutreffend dargelegt. Gleiches gilt in Bezug auf den im Sozialversicherungsrecht üblichen Beweisgrad der überwiegenden Wahrscheinlichkeit ( BGE 129 V 177 E. 3.1 S. 181 mit Hinweisen) sowie die Ausführungen zum Beweiswert und zur Beweiswürdigung medizinischer Berichte und Gutachten ( BGE 135 V 465 E. 4.3 S. 468 ff.; 125 V 351 E. 3 S. 352). Korrekt sind auch die Hinweise zum Untersuchungsgrundsatz ( Art. 61 lit. c ATSG ) und zur Beweislast im Sozialversicherungsprozess ( BGE 117 V 261 E. 3b S. 264). Darauf wird verwiesen.</w:t>
      </w:r>
    </w:p>
    <w:p>
      <w:r>
        <w:rPr>
          <w:b/>
        </w:rPr>
        <w:t>E. 2.2</w:t>
      </w:r>
    </w:p>
    <w:p>
      <w:r>
        <w:t>Zu betonen ist,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4.4 S. 470).</w:t>
      </w:r>
    </w:p>
    <w:p>
      <w:r>
        <w:rPr>
          <w:b/>
        </w:rPr>
        <w:t>E. 3</w:t>
      </w:r>
    </w:p>
    <w:p>
      <w:r>
        <w:t>Streitig und zu prüfen ist, ob die SUVA für die am 24. Oktober 2011 festgestellte Ruptur der Supraspinatussehne leistungspflichtig ist, bzw. ob die Sehnenruptur mit überwiegender Wahrscheinlichkeit auf den Unfall vom 30. Juni 2010 zurückzuführen ist.</w:t>
      </w:r>
    </w:p>
    <w:p>
      <w:r>
        <w:rPr>
          <w:b/>
        </w:rPr>
        <w:t>E. 4.1</w:t>
      </w:r>
    </w:p>
    <w:p>
      <w:r>
        <w:t>Nach Würdigung der medizinischen Aktenlage gelangte die Vorinstanz zum Schluss, es sei nicht überwiegend wahrscheinlich, dass der Unfall vom 30. Juni 2010 zur Sehnenruptur führte bzw. einen vorbestehenden Krankheitszustand richtungsweisend verschlechterte. Es sei vielmehr davon auszugehen, dass kein ursächlicher Zusammenhang zwischen dem Unfallereignis und der später eingetretenen Gesundheitsschädigung bestehe. Sie stützte sich dabei in Bestätigung der Verwaltung auf die Berichte der SUVA-Kreisärzte, insbesondere die ausführliche Stellungnahme des SUVA-Arztes Dr. med. G.________ vom 28. August 2014. Sie erwog, die SUVA-Ärzte würden nachvollziehbar und überzeugend darlegen, dass diese Läsion (Ruptur der Supraspinatussehne) einerseits ohne weiteres mit dem Fortschreiten der vorbestehenden, krankhaften Degenerationserscheinungen an der rechten Schulter erklärt werden könne. Anderseits werde festgehalten, dass zwei Wochen nach dem Unfall noch keine Ruptur im Sinne einer unterbrochenen Sehnenkontinuität nachweisbar gewesen sei. Die übrigen Arztberichte in den Akten seien nicht geeignet, Zweifel an dieser Einschätzung zu wecken. Zum abweichenden Bericht des Dr. med. C.________ führte die Vorinstanz aus, dieser halte es zwar für wahrscheinlicher, dass die Reruptur auf die Schulterluxation zurückgehe als auf einen krankhaften Prozess. Er räume aber zugleich ein, dass im Juli 2010 kein vollständiger Riss der Sehne vorgelegen habe, und er könne nicht ausschliessen, dass die damals ersichtlichen Veränderungen der Rotatorenmanschette im Gefolge der Operation von 2008 entstanden seien. Der Standpunkt der SUVA-Ärzte werde deshalb durch die abweichende Auffassung von Dr. med. C.________ nicht widerlegt. Verstehe man ihn so, dass 2010 keine komplette Ruptur vorgelegen habe, sondern nur eine weniger weitgehende Läsion der Sehne, so stehe dies sogar in Einklang mit dem SUVA-Arzt Dr. med. G.________, der einen Defekt mit Austritt von Kontrastmittel bejaht habe. Auch die Aussage von Dr. med. H.________, die Supraspinatussehne sei "vorwiegend" intakt, sei in diesem Sinne zu deuten; von einer Totalruptur sei bei ihm nicht die Rede.</w:t>
      </w:r>
    </w:p>
    <w:p>
      <w:r>
        <w:rPr>
          <w:b/>
        </w:rPr>
        <w:t>E. 4.2</w:t>
      </w:r>
    </w:p>
    <w:p>
      <w:r>
        <w:t>Der Beschwerdeführer wendet dagegen ein, die Vorinstanz habe nicht geprüft, ob der Unfall vom 30. Juni 2010 nicht zumindest eine Teilursache für die Ruptur der Supraspinatussehne rechts darstelle, was genüge um die Kausalität zu bejahen. Aus den Berichten der Dres. C.________ und F.________ ergäbe sich, dass der Unfall zumindest eine Teilursache für die Sehnenruptur sei. Jedenfalls hätten diese Berichte die Vorinstanz veranlassen müssen, die Kausalitätsfrage durch ein medizinisches Gutachten klären zu lassen.</w:t>
      </w:r>
    </w:p>
    <w:p>
      <w:r>
        <w:rPr>
          <w:b/>
        </w:rPr>
        <w:t>E. 5.1</w:t>
      </w:r>
    </w:p>
    <w:p>
      <w:r>
        <w:t>Diese Auffassung des Beschwerdeführers ist nicht von der Hand zu weisen. Der SUVA-Arzt Dr. med. G.________ hält in seiner Stellungnahme vom 28. August 2014, worin er sich mit den abweichenden Auffassungen der externen Fachärzte auseinandersetzt und worauf das kantonale Gericht schlussendlich abstellt, zusammenfassend fest, dass die Luxation nicht zu einer Ruptur der Sehne geführt habe. Beim Abwägen der Argumente, die für oder gegen einen ursächlichen Zusammenhang des Rezidivdefekts mit der Schulterluxation sprächen, seien von besonderer Bedeutung der fehlende Nachweis eines strukturellen Defektes und der fehlende Funktionsausfall in den zeitnah zur Luxation erfolgten körperlichen und apparativen Untersuchungen. Wie Dr. med. G.________ gehen zwar auch die versicherungsexternen Fachärzte Dres. C.________ und F.________ davon aus, dass die refixierte Supraspinatussehne am 30. Juni 2010 nicht total gerissen ist, eine Läsion als mögliche Teilursache wird aber nicht ausgeschlossen. So stellt sich Dr. med. C.________ auf den Standpunkt, die Luxation habe mit überwiegender Wahrscheinlichkeit zu einer nicht transmuralen Teilverletzung geführt, welche sich während des folgenden Jahres zu einer vollständigen transmuralen Ruptur entwickelt habe. Die Hypothese, der Beschwerdeführer habe während der zwei Jahre bis zur Schulterluxation über eine gut funktionierende operierte Rotatorenmanschette verfügt, und erst mit dem dritten postoperativen Jahr sei es unabhängig vom Trauma zu einem grossen degenerativen Defekt der Supraspinatussehne gekommen, erscheine ihm deutlich weniger wahrscheinlich. Gemäss Dr. med. F.________ ist u.a. der Austritt von Kontrastmittel bei der nach der Luxation durchgeführten MRI-Untersuchung vom 14. Juli 2010 ein klarer Hinweis auf eine unterbrochene Kontinuität der Rotatorenmanschette. Der Austritt von Kontrastmittel belege eine Läsion. Die Vorinstanz erwog dazu, Dr. med. G.________ bestreite dies an sich nicht, differenziere aber klar zwischen Defekten und einem vollständigen Riss der Sehne. Entgegen den Ausführungen des Dr. med. G.________ bestätigt Dr. med. C.________ nicht, dass im MRI keine auf die Schulterluxation zurückführende strukturelle Läsion dargestellt wird, vielmehr bejaht er lediglich, dass keine vollständige transmurale Rotatorenmanschettenläsion vorgelegen habe. Eine Teilkausalität ist mithin nicht ohne weiteres ausgeschlossen. Mit Blick auf die gezeigte Ausgangslage gilt festzustellen, dass die versicherungsexternen fachärztlichen Stellungnahmen mit Bezug auf die relevante Frage der Teilkausalität zumindest geringe Zweifel (vgl. E. 2.2) an der Schlüssigkeit und Beweiskraft der versicherungsinternen Beurteilung des Dr. med. G.________ zu begründen vermögen. Der Standpunkt der SUVA-Ärzte braucht dabei nicht widerlegt zu werden.</w:t>
      </w:r>
    </w:p>
    <w:p>
      <w:r>
        <w:rPr>
          <w:b/>
        </w:rPr>
        <w:t>E. 5.2</w:t>
      </w:r>
    </w:p>
    <w:p>
      <w:r>
        <w:t>Aufgrund der aktuellen Aktenlage lässt sich die Frage der Teilkausalität mithin nicht schlüssig beantworten, womit es einer externen medizinischen Abklärung bedarf.</w:t>
      </w:r>
    </w:p>
    <w:p>
      <w:r>
        <w:rPr>
          <w:b/>
        </w:rPr>
        <w:t>E. 6</w:t>
      </w:r>
    </w:p>
    <w:p>
      <w:r>
        <w:t>Nach dem Gesagten ist die Sache an die Vorinstanz zurückzuweisen, damit sie zur Beurteilung der Frage der Kausalität ein medizinisches Gerichtsgutachten einhole und danach über die Beschwerde neu entscheide.</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