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8C_645/2012 vom 5. November 2012</w:t>
      </w:r>
    </w:p>
    <w:p>
      <w:r>
        <w:t>Bundesgericht, 2012-11-05, DE</w:t>
      </w:r>
    </w:p>
    <w:p>
      <w:r>
        <w:rPr>
          <w:b/>
        </w:rPr>
        <w:t xml:space="preserve">Quelle: </w:t>
      </w:r>
      <w:r>
        <w:t>https://mcp.opencaselaw.ch/entscheid/bger_8C_645_2012</w:t>
      </w:r>
    </w:p>
    <w:p>
      <w:r>
        <w:t>FR: TF 8C_645/2012 du 5 novembre 2012</w:t>
      </w:r>
    </w:p>
    <w:p>
      <w:r>
        <w:t>IT: TF 8C_645/2012 del 5 novembre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rPr>
          <w:b/>
        </w:rPr>
        <w:t>E. 2</w:t>
      </w:r>
    </w:p>
    <w:p>
      <w:r>
        <w:t>Das kantonale Gericht hat die Bestimmungen und Grundsätze zum Anspruch auf eine Invalidenrente der Unfallversicherung ( Art. 18 Abs. 1 UVG ) sowie zum Beweiswert von Arztberichten und medizinischen Gutachten ( BGE 135 V 465 E. 4.3 S. 468 ff.; 125 V 351 E. 3 S. 352 ff.; 122 V 157 E. 1c S. 160 ff.) zutreffend dargelegt. Darauf wird verwiesen.</w:t>
      </w:r>
    </w:p>
    <w:p>
      <w:r>
        <w:rPr>
          <w:b/>
        </w:rPr>
        <w:t>E. 3</w:t>
      </w:r>
    </w:p>
    <w:p>
      <w:r>
        <w:t>Die Vorinstanz ist in Würdigung der Akten und Auseinandersetzung mit den Parteivorbringen zur Erkenntnis gelangt, der unfallbedingte Gesundheitsschaden erlaube es dem Versicherten, einer leichten bis mittelschweren Arbeit ganztägig nachzugehen, sofern das Heben von Lasten auf 10 bis 15 kg limitiert und repetitive Dreh- und Impulsbewegungen vermieden würden.</w:t>
      </w:r>
    </w:p>
    <w:p>
      <w:r>
        <w:rPr>
          <w:b/>
        </w:rPr>
        <w:t>E. 3.1</w:t>
      </w:r>
    </w:p>
    <w:p>
      <w:r>
        <w:t>Dabei stellte es auf das von Dr. med. W.________ anlässlich der kreisärztlichen Abschlussuntersuchung vom 28. September 2009 näher umschriebene Zumutbarkeitsprofil ab, welches entgegen den Vorbringen des Beschwerdeführers von keinem anderen Arzt, insbesondere auch nicht von Dr. B.________ in Frage gestellt worden sei.</w:t>
      </w:r>
    </w:p>
    <w:p>
      <w:r>
        <w:t>Der Beschwerdeführer erneuert seine Behauptung letztinstanzlich und verweist dabei auf die Berichte der Dres. O.________ vom ambulanten Chirurgiezentrum X.________ vom 11. April 2008 und B.________ vom 29. April 2008.</w:t>
      </w:r>
    </w:p>
    <w:p>
      <w:r>
        <w:rPr>
          <w:b/>
        </w:rPr>
        <w:t>E. 3.2</w:t>
      </w:r>
    </w:p>
    <w:p>
      <w:r>
        <w:t>Soweit darin überhaupt eine Einschätzung der Restarbeitsfähigkeit vorgenommen ist, beschränkt sich diese offenkundig auf eine Momentaufnahme im damals noch laufenden Heilungs- und Behandlungsprozess. Wie der Beschwerdeführer dergestalt behaupten kann, in diesen Berichten hätten sich die angerufenen Ärzte bereits gegen die knapp eineinhalb Jahre später und in Kenntnis des weiteren Heilungsverlaufs abgegebene Einschätzung von Dr. med. W.________ gestellt, ist nicht nachvollziehbar.</w:t>
      </w:r>
    </w:p>
    <w:p>
      <w:r>
        <w:rPr>
          <w:b/>
        </w:rPr>
        <w:t>E. 3.3</w:t>
      </w:r>
    </w:p>
    <w:p>
      <w:r>
        <w:t>Da im Übrigen keine weiteren Einwände gegen die im angefochtenen Entscheid getroffenen Tatsachenfeststellungen und daraus ableitbaren rechtlichen Schlussfolgerungen vorgebracht werden, hat es damit sein Bewenden, zumal auch nicht ein Rechtsmangel im Sinne von E. 1 erkennbar ist.</w:t>
      </w:r>
    </w:p>
    <w:p>
      <w:r>
        <w:rPr>
          <w:b/>
        </w:rPr>
        <w:t>E. 4</w:t>
      </w:r>
    </w:p>
    <w:p>
      <w:r>
        <w:t>Insgesamt erweist sich die Beschwerde als offensichtlich unbegründet, weshalb das vereinfachte Verfahren nach Art. 109 Abs. 2 lit. a BGG Anwendung findet. Aus demselben Grund ist gemäss Art. 64 Abs. 1 BGG das Gesuch um unentgeltliche Rechtspflege abzuweisen. Die Gerichtskosten sind ausgangsgemäss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