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8C_645/2011 vom 5. Dezember 2011</w:t>
      </w:r>
    </w:p>
    <w:p>
      <w:r>
        <w:t>Bundesgericht, 2011-12-05, FR</w:t>
      </w:r>
    </w:p>
    <w:p>
      <w:r>
        <w:rPr>
          <w:b/>
        </w:rPr>
        <w:t xml:space="preserve">Quelle: </w:t>
      </w:r>
      <w:r>
        <w:t>https://mcp.opencaselaw.ch/entscheid/bger_8C_645_2011</w:t>
      </w:r>
    </w:p>
    <w:p>
      <w:r>
        <w:t>FR: TF 8C_645/2011 du 5 décembre 2011</w:t>
      </w:r>
    </w:p>
    <w:p>
      <w:r>
        <w:t>IT: TF 8C_645/2011 del 5 dicembre 2011</w:t>
      </w:r>
    </w:p>
    <w:p>
      <w:pPr>
        <w:pStyle w:val="Heading2"/>
      </w:pPr>
      <w:r>
        <w:t>Erwägungen</w:t>
      </w:r>
    </w:p>
    <w:p>
      <w:r>
        <w:rPr>
          <w:b/>
        </w:rPr>
        <w:t>E. 1</w:t>
      </w:r>
    </w:p>
    <w:p>
      <w:r>
        <w:t>La voie du recours en matière de droit public est ouverte en l'espèce. Le recours est en effet dirigé contre un jugement final ( art. 90 LTF ) rendu dans une cause de droit public ( art. 82 let. a LTF ) par une autorité cantonale de dernière instance ( art. 86 al. 1 let . d LTF), sans que l'on se trouve dans l'un des cas d'exception mentionnés par l' art. 83 LTF .</w:t>
      </w:r>
    </w:p>
    <w:p>
      <w:r>
        <w:rPr>
          <w:b/>
        </w:rPr>
        <w:t>E. 2</w:t>
      </w:r>
    </w:p>
    <w:p>
      <w:r>
        <w:t>Le recours en matière de droit public peut être formé pour violation du droit, tel qu'il est délimité aux articles 95 et 96 LTF. Le Tribunal fédéral ne peut revoir les questions de droit cantonal que sous l'angle restreint de l'arbitraire (sur cette notion : ATF 129 I 8 consid. 2.1 p. 9),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(cf. ATF 133 IV 286 consid. 1.4 p. 287).</w:t>
      </w:r>
    </w:p>
    <w:p>
      <w:r>
        <w:rPr>
          <w:b/>
        </w:rPr>
        <w:t>E. 3.1</w:t>
      </w:r>
    </w:p>
    <w:p>
      <w:r>
        <w:t>Le jugement attaqué repose sur la loi cantonale vaudoise sur l'emploi du 5 juillet 2005 (LEmp; RSV 822.11) et son règlement d'application du 7 décembre 2005 (RLEmp; RSV 822.11.1).</w:t>
      </w:r>
    </w:p>
    <w:p>
      <w:r>
        <w:t>En bref, la juridiction cantonale a considéré que les recherches de travail effectuées au mois de mars 2009 étaient insuffisantes au regard des exigences consacrées par la pratique cantonale. En effet, elle a constaté que les pièces produites par l'intéressé à l'appui de ses allégations (des recherches d'emploi effectuées dans le cadre du programme d'emploi temporaire mis en oeuvre par la Ville de Lausanne et des réponses négatives de cinq employeurs) n'attestent pas l'accomplissement de recherches pour le mois en question, du moment que, ou bien elles ne mentionnent pas le nom de l'employeur potentiel, ou bien elles n'indiquent pas la date des recherches de travail. Aussi, la juridiction cantonale a-t-elle jugé que la sanction prononcée par l'administration était justifiée tant dans son principe que dans sa quotité.</w:t>
      </w:r>
    </w:p>
    <w:p>
      <w:r>
        <w:rPr>
          <w:b/>
        </w:rPr>
        <w:t>E. 3.2</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Il appartient au recourant de démontrer le caractère arbitraire par une argumentation répondant aux exigences de l' art. 42 al. 2 LTF , respectivement de l' art. 106 al. 2 LTF ( ATF 137 I 58 consid. 4.1.2 p. 62 et les références).</w:t>
      </w:r>
    </w:p>
    <w:p>
      <w:r>
        <w:rPr>
          <w:b/>
        </w:rPr>
        <w:t>E. 3.3</w:t>
      </w:r>
    </w:p>
    <w:p>
      <w:r>
        <w:t>En l'espèce, le recours ne contient aucune démonstration du caractère arbitraire de l'état de fait du jugement attaqué. En effet, le recourant n'expose pas en quoi l'appréciation des preuves par la juridiction cantonale est manifestement insoutenable, mais il se contente d'alléguer que les pièces produites attestent l'accomplissement de recherches de travail au cours du mois de mars 2009. Ce faisant, son argumentation tend plutôt à substituer sa propre appréciation à celle de la juridiction précédente. En outre, le recourant ne prétend pas que la juridiction cantonale aurait violé son droit d'être entendu consacré à l' art. 29 al. 2 Cst. en renonçant à administrer d'autres preuves (appréciation anticipée des preuves).</w:t>
      </w:r>
    </w:p>
    <w:p>
      <w:r>
        <w:t>Par ailleurs, l'intéressé ne fait pas la démonstration d'une application arbitraire du droit cantonal mais invoque des principes jurisprudentiels sans en démontrer la pertinence dans le cas concret. Or, il n'appartient pas au Tribunal fédéral de discerner lui-même de quoi l'intéressé entend au juste se plaindre. En l'absence de grief suffisamment motivé, il y a lieu de s'en tenir aux considérants pertinents du jugement attaqué auxquels il est renvoyé ( art. 109 al. 3 LTF ).</w:t>
      </w:r>
    </w:p>
    <w:p>
      <w:r>
        <w:rPr>
          <w:b/>
        </w:rPr>
        <w:t>E. 4</w:t>
      </w:r>
    </w:p>
    <w:p>
      <w:r>
        <w:t>L'assistance d'un avocat n'était pas nécessaire (cf. ATF 135 I 1 consid. 7.1 p. 2), de sorte que la requête tendant à la désignation d'un avocat d'office est mal fondée. Toutefois, il est exceptionnellement renoncé à la perception de frais judiciaires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