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8C_644/2014 vom 25. März 2015</w:t>
      </w:r>
    </w:p>
    <w:p>
      <w:r>
        <w:t>Bundesgericht, 2015-03-25, DE</w:t>
      </w:r>
    </w:p>
    <w:p>
      <w:r>
        <w:rPr>
          <w:b/>
        </w:rPr>
        <w:t xml:space="preserve">Quelle: </w:t>
      </w:r>
      <w:r>
        <w:t>https://mcp.opencaselaw.ch/entscheid/bger_8C_644_2014</w:t>
      </w:r>
    </w:p>
    <w:p>
      <w:r>
        <w:t>FR: TF 8C_644/2014 du 25 mars 2015</w:t>
      </w:r>
    </w:p>
    <w:p>
      <w:r>
        <w:t>IT: TF 8C_644/2014 del 25 marzo 2015</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Streitwertgrenze von Fr. 15'000.- ( Art. 51 Abs. 1 lit. a, Art. 85 Abs. 1 lit. b BGG ; erwähntes Urteil 8C_649/2010 E. 1.2) ist erreicht (Streitwertangabe in der Rechtsmittelbelehrung des Entscheids vom 30. Juni 2014).</w:t>
      </w:r>
    </w:p>
    <w:p>
      <w:r>
        <w:rPr>
          <w:b/>
        </w:rPr>
        <w:t>E. 2</w:t>
      </w:r>
    </w:p>
    <w:p>
      <w:r>
        <w:t>Die Beschwerde in öffentlich-rechtlichen Angelegenheiten kann wegen Rechtsverletzung gemäss Art. 95 und Art. 96 BGG erhoben werden. Der angefochtene Entscheid stützt sich in der Sache auf kantonales Recht. Als Beschwerdegrund kommt im Wesentlichen die Verletzung von Bundesrecht, insbesondere von verfassungsmässigen Rechten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8C_687/2010 vom 5. Januar 2011 E. 3.1 und 8C_690/2010 vom 1. November 2010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3</w:t>
      </w:r>
    </w:p>
    <w:p>
      <w:r>
        <w:t>Streitig sind die Gehaltseinstufungen der Beschwerdeführerinnen in der Zeit ab 1. Januar 2008. Zu prüfen ist, ob das kantonale Gericht gegen Bundesrecht verstiess, als es den Anträgen der beiden Mitglieder des Obergerichts des Kantons Bern nicht (vollumfänglich) gefolgt ist.</w:t>
      </w:r>
    </w:p>
    <w:p>
      <w:r>
        <w:rPr>
          <w:b/>
        </w:rPr>
        <w:t>E. 4.1</w:t>
      </w:r>
    </w:p>
    <w:p>
      <w:r>
        <w:t>Die Beschwerdeführerinnen rügen eine Verletzung des Rechtsgleichheitsgebots ( Art. 8 Abs. 1 BV ). Sie machen diesbezüglich aber nicht geltend, Opfer einer geschlechtsspezifischen Diskriminierung im Sinne von Art. 3 Abs. 2 GlG zu sein.</w:t>
      </w:r>
    </w:p>
    <w:p>
      <w:r>
        <w:rPr>
          <w:b/>
        </w:rPr>
        <w:t>E. 4.2</w:t>
      </w:r>
    </w:p>
    <w:p>
      <w:r>
        <w:t>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124 II 409 E. 9b S. 426 f. ; 123 I 1 E. 6b S. 8 ; 121 I 102 E. 4a/c S. 104 f.). Nach ständiger Rechtsprechung ist Art. 8 BV (bzw. Art. 4 aBV ) nicht verletzt, wenn Besoldungsunterschiede auf objektive Motive wie Alter, Dienstalter, Erfahrung, Familienlasten, Qualifikation, Art und Dauer der Ausbildung, Arbeitszeit, Leistung, Aufgabenbereich oder übernommene Verantwortlichkeiten zurückzuführen sind ( BGE 131 I 105 E. 3.1 S. 107 ; 123 I 1 E. 6c S. 8, je mit Hinweisen; vgl. auch Urteile 1C_295/2008 vom 29. Mai 2009 E. 2.6 und 2P.95/2001 vom 14. November 2001 E. 4).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 123 I 1 E. 6a S. 7 f., mit Hinweisen). Schliesslich hält auch ein gewisser, aus praktischen Gründen bestehender Schematismus innerhalb der Besoldungsordnung vor dem Rechtsgleichheitsgebot stand, selbst wenn er Grenzfällen nicht immer gerecht zu werden vermag ( BGE 121 I 102 E. 4d/aa S. 107; Urteile 1C_295/2008 vom 29. Mai 2009 E. 2.7 und 8C_5/2012 vom 16. April 2013 E. 4).</w:t>
      </w:r>
    </w:p>
    <w:p>
      <w:r>
        <w:rPr>
          <w:b/>
        </w:rPr>
        <w:t>E. 5</w:t>
      </w:r>
    </w:p>
    <w:p>
      <w:r>
        <w:t>Soweit die Beschwerdeführerinnen vorbringen, sie würden durch einen zu langsamen Gehaltsaufstieg gegenüber jenen Kolleginnen und Kollegen benachteiligt, welche im Zeitpunkt ihrer Wahl zum Obergericht über eine umfassendere berufliche Erfahrung verfügten, legen sie nicht dar, inwieweit die ausführlichen vorinstanzlichen Erwägungen zu diesem Punkt bundesrechtswidrig sein sollten. Auf die entsprechende Rüge ist daher nicht weiter einzugehen.</w:t>
      </w:r>
    </w:p>
    <w:p>
      <w:r>
        <w:rPr>
          <w:b/>
        </w:rPr>
        <w:t>E. 6</w:t>
      </w:r>
    </w:p>
    <w:p>
      <w:r>
        <w:t>Die Beschwerdeführerinnen sehen sich weiter gegenüber jenen Kolleginnen und Kollegen benachteiligt, welche ihr Amt als Oberrichter bereits vor dem 31. Dezember 1996 antraten. Hiezu ist Folgendes festzuhalten:</w:t>
      </w:r>
    </w:p>
    <w:p>
      <w:r>
        <w:rPr>
          <w:b/>
        </w:rPr>
        <w:t>E. 6.1</w:t>
      </w:r>
    </w:p>
    <w:p>
      <w:r>
        <w:t>Die Beschwerdeführerinnen sind als Mitglieder des Obergerichts in die kantonale Gehaltsklasse 30 eingeteilt. Ihr Gehalt setzt sich zusammen aus einem Grundgehalt und einem individuell festgelegten Gehaltsbestandteil; dieser beträgt höchstens 60 % des Grundgehaltes. Der Aufstieg vom Grundgehalt zum maximalen Gehalt erfolgt mittels 80 Gehaltsstufen von je 0,75 % des Grundgehaltes (bis zum 31. Dezember 2004: 40 Gehaltsstufen von je 1,5 % des Grundgehaltes). Beim Eintritt in die Funktion wurde ein individuelles Anfangsgehalt nach objektiven Kriterien, insbesondere unter Berücksichtigung der Berufserfahrung, festgelegt.</w:t>
      </w:r>
    </w:p>
    <w:p>
      <w:r>
        <w:rPr>
          <w:b/>
        </w:rPr>
        <w:t>E. 6.2</w:t>
      </w:r>
    </w:p>
    <w:p>
      <w:r>
        <w:t>Zu Beginn der vorliegend streitigen Zeit, mithin ab 1. Januar 2008, war die Beschwerdeführerin 1 in die Gehaltsstufe 69 eingereiht; ihr Verdienst entsprach damit rund 94,8 % des Maximums ihrer Gehaltsklasse. Ab dem 1. Januar 2010 erfolgte die Einreihung in die Gehaltsstufe 70 (rund 95,3 % des Maximums), ab 1. Januar 2011 in die Gehaltsstufe 72 (rund 96,2 % des Maximums), ab 1. Januar 2012 in die Gehaltsstufe 74 (rund 97,2 % des Maximums), ab 1. Januar 2013 in die Gehaltsstufe 75 (rund 97,7 % des Maximums) und ab 1. Januar 2014 in die Gehaltsstufe 78 (rund 99,1 % des Maximums).</w:t>
      </w:r>
    </w:p>
    <w:p>
      <w:r>
        <w:t>Gemäss dem kantonalem Entscheid ist die Beschwerdeführerin 2 wie folgt einzureihen: ab 1. Januar 2008 in die Gehaltsstufe 61 (rund 91,1 % des Maximums), ab 1. Januar 2009 in die Gehaltsstufe 65 (rund 93 % des Maximums), ab 1. Januar 2010 in die Gehaltsstufe 66 (rund 93,4 % des Maximums), ab 1. Januar 2011 in die Gehaltsstufe 68 (rund 95,4 % des Maximums), ab 1. Januar 2012 in die Gehaltsstufe 74 (rund 97,2 % des Maximums), ab 1. Januar 2013 in die Gehaltsstufe 75 (rund 97,7 % des Maximums) und ab 1. Januar 2014 in die Gehaltsstufe 78 (rund 99,1 % des Maximums).</w:t>
      </w:r>
    </w:p>
    <w:p>
      <w:r>
        <w:rPr>
          <w:b/>
        </w:rPr>
        <w:t>E. 6.3</w:t>
      </w:r>
    </w:p>
    <w:p>
      <w:r>
        <w:t>Bei jenen Mitgliedern des Obergerichts, welche ihr Amt bereits vor dem 31. Dezember 1996 angetreten haben, entsprach das Gehalt ab Amtsantritt dem Maximum der obersten Gehaltsklasse. Auf den 1. Januar 1997 wurden diese Oberrichterinnen und Oberrichter im Sinne einer Besitzstandsgarantie in die höchste Gehaltsstufe der obersten Gehaltsklasse überführt, so dass diese heute in der Gehaltsklasse 30, Gehaltsstufe 80 eingereiht sind.</w:t>
      </w:r>
    </w:p>
    <w:p>
      <w:r>
        <w:rPr>
          <w:b/>
        </w:rPr>
        <w:t>E. 6.4</w:t>
      </w:r>
    </w:p>
    <w:p>
      <w:r>
        <w:t>Änderungen im Besoldungssystem werfen regelmässig die Frage auf, wie die bisher bereits Angestellten zu behandeln seien. Nach der Rechtsprechung des Bundesgerichts sind dabei verschiedene Lösungsmöglichkeiten verfassungsrechtlich zulässig: Es besteht kein verfassungsmässiger Anspruch auf Beibehaltung der bisherigen Lohneinstufung oder des einmal festgelegten Lohnanstiegs (Urteil 2P.222/2003 vom 6. Februar 2004 E. 4.3 mit weiteren Hinweisen). Es ist aber im Falle von Schlechterstellungen auch verfassungsrechtlich haltbar, im Sinne einer vorübergehenden oder dauerhaften Besitzstandsgarantie gewisse Vorteile zu erhalten und die einschränkenden Vorschriften nur auf das neu eingestellte Personal anzuwenden ( BGE 118 Ia 245 E. 5d S. 257; Urteil 2P.222/2003 vom 6. Februar 2004 E. 4.3 mit weiteren Hinweisen). Umso mehr ist es zulässig, eine günstigere altrechtliche Stellung nur befristet aufrechtzuerhalten, was sich unter Umständen verfassungsrechtlich aufdrängt. Umgekehrt liegt es auch im Rahmen der Gestaltungsfreiheit, neu eingeführte Vorteile nur dem neu einzustellenden Personal zukommen zu lassen. Änderungen im Besoldungssystem können somit zur Folge haben, dass Mitarbeiter je nach Anstellungszeitpunkt für die gleiche Arbeit unterschiedlich entlöhnt werden. Dies ist zulässig, solange die Unterschiede in der Besoldung kein unvertretbares Mass annehmen ( BGE 118 Ia 245 E. 5d S. 258; Urteil 2P.222/2003 vom 6. Februar 2004 E. 4.3 mit weiteren Hinweisen).</w:t>
      </w:r>
    </w:p>
    <w:p>
      <w:r>
        <w:rPr>
          <w:b/>
        </w:rPr>
        <w:t>E. 6.5</w:t>
      </w:r>
    </w:p>
    <w:p>
      <w:r>
        <w:t>Der Kanton Bern hat auf den 1. Januar 1997 eine Privilegierung der Mitglieder des Obergerichts gegenüber dem restlichen Staatspersonal teilweise abgeschafft, den bisherigen Oberrichterinnen und Oberrichtern jedoch eine zeitlich unbefristete Besitzstandsgarantie gewährt. Eine solche ist rechtsprechungsgemäss (vgl. E. 6.4 hievor) grundsätzlich von Verfassungs wegen zulässig, solange die Unterscheide in der Besoldung kein unvertretbares Mass annehmen. Somit ist entgegen den Vorbringen der Beschwerdeführerinnen von Verfassungs wegen noch nicht bereits aus dem Grund einzuschreiten, dass auch zwölf Jahre nach der Änderung des Lohnsystems die Mitglieder des Obergerichts je nach Anstellungszeitpunkt unterschiedlich entlöhnt werden.</w:t>
      </w:r>
    </w:p>
    <w:p>
      <w:r>
        <w:rPr>
          <w:b/>
        </w:rPr>
        <w:t>E. 6.6</w:t>
      </w:r>
    </w:p>
    <w:p>
      <w:r>
        <w:t>Jedenfalls für die vorliegend streitige Zeit ab dem 1. Januar 2008 und nach Korrektur des Gehaltes der Beschwerdeführerin 2 durch die Vorinstanz kann nicht gesagt werden, der Lohnunterschied zwischen den Beschwerdeführerinnen und den altrechtlichen Mitgliedern des Obergericht übersteige das vertretbare Mass (vgl. die Zahlen in E. 6.2). Zu berücksichtigen ist in diesem Zusammenhang auch, dass die beiden Beschwerdeführerinnen erst mehrere Jahre nach dem Systemwechsel ans Obergericht gewählt wurden und sie daher auch entsprechend amtsjünger als die vor dem 31. Dezember 1996 gewählten Oberrichterinnen und Oberrichter sind. Hält demnach im konkreten Fall der Lohnunterschied einer Verfassungsprüfung stand, so braucht auch nicht näher geprüft zu werden, ob der auf den 1. Januar 1997 erfolgte Systemwechsel überhaupt noch kausal für den Lohnunterschied ist, ob also diejenigen Mitglieder des Obergerichts, welche ihr Amt noch unter altem Recht angetreten haben, nicht auch bei einer Einreihung nach neuem Recht in der Zwischenzeit die oberste Gehaltsstufe erreicht hätten.</w:t>
      </w:r>
    </w:p>
    <w:p>
      <w:r>
        <w:rPr>
          <w:b/>
        </w:rPr>
        <w:t>E. 6.7</w:t>
      </w:r>
    </w:p>
    <w:p>
      <w:r>
        <w:t>Somit hat die Vorinstanz kein Bundesrecht verletzt, als sie die Begehren der Beschwerdeführerinnen um Höhereinstufung abwies (bzgl. Beschwerdeführerin 1) resp. nur teilweise guthiess (bzgl. Beschwerdeführerin 2). Die Beschwerde ist demnach abzuweisen.</w:t>
      </w:r>
    </w:p>
    <w:p>
      <w:r>
        <w:rPr>
          <w:b/>
        </w:rPr>
        <w:t>E. 7</w:t>
      </w:r>
    </w:p>
    <w:p>
      <w:r>
        <w:t>Entsprechend dem Verfahrensausgang sind die Gerichtskosten den Beschwerdeführerinnen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