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8C_643/2025 vom 9. Dezember 2025</w:t>
      </w:r>
    </w:p>
    <w:p>
      <w:r>
        <w:t>Bundesgericht, 2025-12-09, FR</w:t>
      </w:r>
    </w:p>
    <w:p>
      <w:r>
        <w:rPr>
          <w:b/>
        </w:rPr>
        <w:t xml:space="preserve">Quelle: </w:t>
      </w:r>
      <w:r>
        <w:t>https://mcp.opencaselaw.ch/entscheid/bger_8C_643_2025</w:t>
      </w:r>
    </w:p>
    <w:p>
      <w:r>
        <w:t>FR: TF 8C_643/2025 du 9 décembre 2025</w:t>
      </w:r>
    </w:p>
    <w:p>
      <w:r>
        <w:t>IT: TF 8C_643/2025 del 9 dicembre 2025</w:t>
      </w:r>
    </w:p>
    <w:p>
      <w:pPr>
        <w:pStyle w:val="Heading2"/>
      </w:pPr>
      <w:r>
        <w:t>Erwägungen</w:t>
      </w:r>
    </w:p>
    <w:p>
      <w:r>
        <w:rPr>
          <w:b/>
        </w:rPr>
        <w:t>E. 1.1</w:t>
      </w:r>
    </w:p>
    <w:p>
      <w:r>
        <w:t>Selon l' art. 108 LTF , le président de la cour décide en procédure simplifiée de ne pas entrer en matière sur les recours dont la motivation est manifestement insuffisante (al. 1 let. b); il peut confier cette tâche à un autre juge (al. 2).</w:t>
      </w:r>
    </w:p>
    <w:p>
      <w:r>
        <w:rPr>
          <w:b/>
        </w:rPr>
        <w:t>E. 1.2</w:t>
      </w:r>
    </w:p>
    <w:p>
      <w:r>
        <w:t>En vertu de l' art. 42 al. 1 LTF , les mémoires de recours doivent indiquer les conclusions - lesquelles doivent exprimer sur quels points la décision entreprise doit être modifiée et dans quel sens - ainsi que les motifs.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148 IV 205 consid. 2.6; 140 III 86 consid. 2; 138 I 171 consid. 1.4). Une telle exigence de motivation n'est pas satisfaite lorsque la motivation du recours formé devant le Tribunal fédéral est identique à celle qui était déjà présentée dans la procédure cantonale ( ATF 134 II 244 consid. 2.1-2.3).</w:t>
      </w:r>
    </w:p>
    <w:p>
      <w:r>
        <w:rPr>
          <w:b/>
        </w:rPr>
        <w:t>E. 2.1</w:t>
      </w:r>
    </w:p>
    <w:p>
      <w:r>
        <w:t>En l'espèce, dans sa très brève écriture, le recourant se contente de se référer à ses "arguments relatifs à l'affaire concernée", en renvoyant aux annexes déposées à l'appui de son recours, constituées de formulaires de l'intimé et de la copie d'une écriture adressée à la juridiction cantonale le 8 septembre 2025. Le recours ne contient toutefois aucune critique à l'encontre de la motivation de la cour cantonale. Le recourant n'expose pas, même brièvement, en quoi l'acte attaqué violerait le droit. Le recours, qui ne contient pas non plus de conclusions, ne répond ainsi manifestement pas aux exigences de l' art. 42 al. 1 et 2 LTF .</w:t>
      </w:r>
    </w:p>
    <w:p>
      <w:r>
        <w:rPr>
          <w:b/>
        </w:rPr>
        <w:t>E. 2.2</w:t>
      </w:r>
    </w:p>
    <w:p>
      <w:r>
        <w:t>Au vu de ce qui précède, le recours doit être déclaré irrecevable selon la procédure simplifiée de l' art. 108 al. 1 let. b LTF .</w:t>
      </w:r>
    </w:p>
    <w:p>
      <w:r>
        <w:rPr>
          <w:b/>
        </w:rPr>
        <w:t>E. 3</w:t>
      </w:r>
    </w:p>
    <w:p>
      <w:r>
        <w:t>Au regard des circonstances, il convient de renoncer à percevoir des frais judiciaires ( art. 66 al. 1, seconde phrase,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