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8C_643/2012 vom 5. Dezember 2012</w:t>
      </w:r>
    </w:p>
    <w:p>
      <w:r>
        <w:t>Bundesgericht, 2012-12-05, DE</w:t>
      </w:r>
    </w:p>
    <w:p>
      <w:r>
        <w:rPr>
          <w:b/>
        </w:rPr>
        <w:t xml:space="preserve">Quelle: </w:t>
      </w:r>
      <w:r>
        <w:t>https://mcp.opencaselaw.ch/entscheid/bger_8C_643_2012</w:t>
      </w:r>
    </w:p>
    <w:p>
      <w:r>
        <w:t>FR: TF 8C_643/2012 du 5 décembre 2012</w:t>
      </w:r>
    </w:p>
    <w:p>
      <w:r>
        <w:t>IT: TF 8C_643/2012 del 5 dicembre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t>Die Beweiswürdigung im Allgemeinen, einschliesslich die Würdigung von Indizien und fallbezogene Wahrscheinlichkeitsüberlegungen, betreffen Tatfragen, die das Bundesgericht lediglich auf offensichtliche Unrichtigkeit und Rechtsfehlerhaftigkeit hin zu überprüfen befugt ist ( Art. 105 Abs. 2 BGG ). Blosse Zweifel an der Richtigkeit der vorinstanzlichen Sachverhaltsfeststellung ändern an deren Verbindlichkeitswirkung gemäss Art. 105 Abs. 1 BGG nichts (vgl. etwa Urteil 8C_831/2008 vom 29. Mai 2009 E. 2.3 und Urteil 9C_539/2007 vom 31. Januar 2008 E. 2.2.2, je mit Hinweisen).</w:t>
      </w:r>
    </w:p>
    <w:p>
      <w:r>
        <w:rPr>
          <w:b/>
        </w:rPr>
        <w:t>E. 2</w:t>
      </w:r>
    </w:p>
    <w:p>
      <w:r>
        <w:t>Die Vorinstanz hat die Bestimmungen und Grundsätze über den Anspruch auf Hilfsmittel ( Art. 21 Abs. 1 IVG in Verbindung mit Art. 12 f. IVG; in BGE 124 V 7 nicht publizierte E. 2d des Urteils I 71/97 vom 16. März 1998; BGE 109 V 258 E. 3 S. 259; Urteil I 108/02 vom 9. Dezember 2002) zutreffend dargelegt. Darauf wird verwiesen.</w:t>
      </w:r>
    </w:p>
    <w:p>
      <w:r>
        <w:rPr>
          <w:b/>
        </w:rPr>
        <w:t>E. 3</w:t>
      </w:r>
    </w:p>
    <w:p>
      <w:r>
        <w:t>Die Versicherte lässt vorbringen, es sei nicht entscheidend, dass bei ihr eine Presbyopie vorliege, sondern dass die Notwendigkeit der Brille in Zusammenhang mit der gesundheitlichen Problematik stehe, für welche ihr die IV bereits Hilfsmittel ausrichte. Aus den Schreiben des Optikers ergebe sich, dass durch die schwierigen Verhältnisse infolge der Keratoplastik die Brille zusätzlich notwendig sei. Die vorinstanzliche Feststellung, die Brille sei lediglich infolge der Presbyopie notwendig, sei aktenwidrig oder zumindest auf ungenügende Abklärungen zurückzuführen.</w:t>
      </w:r>
    </w:p>
    <w:p>
      <w:r>
        <w:t>Die Versicherte bestreitet nicht, dass die Verordnung der Brille in Zusammenhang mit der Presbyopie steht; sie geht aber davon aus, dass infolge der wegen der Keratoplastik laufenden Versorgung mit Kontaktlinsen auch die Brille zu Lasten der Invalidenversicherung gehe. Dem kann nicht beigepflichtet werden. Zwar ist es zutreffend, dass der Optiker in seinen (identischen) Schreiben vom 28. Juni und 9. November 2011 die schwierigen Verhältnisse infolge der Keratoplastik festhält. Allerdings ist nach Angaben des Optikers die Brille infolge der neu hinzugekommenen Presbyopie notwendig (Aktennotiz vom 31. März 2011). Zudem bedarf es zur Gewährung von Hilfsmitteln einer ärztlichen Verschreibung. Aus dem Bericht des behandelnden Dr. med. G.________, Facharzt für Ophthalmologie, vom 10. Oktober 2011 ergibt sich jedoch nicht, dass die Brille infolge der Keratoplastik notwendig wäre. Vielmehr hält er einen seit seinem Bericht vom 12. November 2008 unveränderten Befund fest, was nur dahingehend verstanden werden kann, dass die zusätzlich notwendige Brille wegen der neu aufgetretenen Presbyopie nötig ist, aber in keinem Zusammenhang mit dem (unveränderten) Keratokonus steht. Es besteht demnach kein Anlass, von den vorinstanzlichen Sachverhaltsfeststellungen abzuweichen. Daran ändern die Ausführungen der Versicherten nichts, wonach der ärztliche Bericht auch anders verstanden werden könnte; denn blosse Zweifel an der Richtigkeit der vorinstanzlichen Sachverhaltsfeststellung reichen nicht aus, um von der Verbindlichkeitswirkung gemäss Art. 105 Abs. 1 BGG abzuweichen (E. 1.2). Unter diesen Umständen fehlt es aber am notwendigen qualifiziert ursächlichen Zusammenhang zwischen dem Keratokonus und der Presbyopie (vgl. Urteil I 108/02 vom 9. Dezember 2002 E. 1.2). Angesichts der Aktenlage und dem beim behandelnden Arzt eingeholten zusätzlichen Bericht kann auch nicht gesagt werden, IV-Stelle und Verwaltung hätten die notwendigen Vorkehrungen zur Abklärung des Sachverhalts nicht getroffen. Demnach ist auch keine Verletzung von Art. 43 Abs. 1 resp. Art. 61 lit. c ATSG ausgewiesen. Schliesslich ist im Rahmen der grundsätzlich zulässigen antizipierten Beweiswürdigung ( BGE 136 I 229 E. 5.3 S. 236; 124 V 90 E. 4b S. 94; 122 V 157 E. 1d S. 162) von der Einholung eines weiteren ärztlichen Berichts abzusehen, da davon keine entscheidwesentlichen, grundsätzlich neuen Erkenntnisse zu erwarten sind.</w:t>
      </w:r>
    </w:p>
    <w:p>
      <w:r>
        <w:rPr>
          <w:b/>
        </w:rPr>
        <w:t>E. 4</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