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8C_643/2007 vom 3. Juli 2008</w:t>
      </w:r>
    </w:p>
    <w:p>
      <w:r>
        <w:t>Bundesgericht, 2008-07-03, DE</w:t>
      </w:r>
    </w:p>
    <w:p>
      <w:r>
        <w:rPr>
          <w:b/>
        </w:rPr>
        <w:t xml:space="preserve">Quelle: </w:t>
      </w:r>
      <w:r>
        <w:t>https://mcp.opencaselaw.ch/entscheid/bger_8C_643_2007</w:t>
      </w:r>
    </w:p>
    <w:p>
      <w:r>
        <w:t>FR: TF 8C_643/2007 du 3 juillet 2008</w:t>
      </w:r>
    </w:p>
    <w:p>
      <w:r>
        <w:t>IT: TF 8C_643/2007 del 3 luglio 2008</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Die Zulässigkeit der Beschwerde setzt somit u.a.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Ein im Sinne von Art. 93 Abs. 1 lit. a BGG nicht wieder gutzumachender Nachteil ist gegeben, wenn er auch mit einem für die Beschwerdeführerin günstigen Endentscheid nicht behoben werden kann (Urteile 4A_85/2007 vom 11. Juni 2007, E. 3.1, und 4A_92/2007 vom 8. Juni 2007, E. 2). Die Rückweisung der Sache an die Vorinstanz zu ergänzender oder weiterer Abklärung und neuer Entscheidung bewirkt in der Regel keinen nicht wieder gutzumachenden Nachteil ( BGE 133 V 477 E. 5.2.1 und 5.2.2 S. 483 sowie Urteil 9C_446/2007 vom 5. Dezember 2007, E. 2 mit Hinweis). Die von der Branchen Versicherung geltend gemachte Entbehrlichkeit der vom kantonalen Gericht geforderten ergänzenden medizinischen Abklärung in Form einer erneuten Begutachten der andauernden somatischen Unfallrestfolgen und der sekundären psychischen Gesundheitsstörung stellt keinen in einem neuen Beschwerdeverfahren nicht behebbaren rechtlichen Nachteil dar. Das im vorinstanzlichen Entscheid Angeordnete wird durch Beschwerde gegen den Endentscheid anfechtbar sein, soweit es sich auf dessen Inhalt auswirkt ( Art. 93 Abs. 3 BGG ). Die Eintretensvoraussetzung von Art. 93 Abs. 1 lit. a BGG ist nicht gegeben.</w:t>
      </w:r>
    </w:p>
    <w:p>
      <w:r>
        <w:rPr>
          <w:b/>
        </w:rPr>
        <w:t>E. 3</w:t>
      </w:r>
    </w:p>
    <w:p>
      <w:r>
        <w:t>Auch in Bezug auf den Eintretensgrund von Art. 93 Abs. 1 lit. b BGG ist die selbstständige Anfechtbarkeit von Zwischenentscheiden aus prozessökonomischen Gründen eine Ausnahme, die restriktiv zu handhaben ist. Dies umso mehr, als die Parteien keiner Rechte verlustig gehen, wenn sie einen Zwischenentscheid nicht selbstständig anfechten, können sie ihn doch mit dem Endentscheid anfechten, soweit er sich auf dessen Inhalt auswirkt ( Art. 93 Abs. 3 BGG ).</w:t>
      </w:r>
    </w:p>
    <w:p>
      <w:r>
        <w:t>Das Bundesgericht prüft nach freiem Ermessen, ob die Voraussetzung von Art. 93 Abs. 1 lit. b BGG , dass bei einer Gutheissung der Beschwerde ein bedeutender Aufwand an Zeit oder Kosten für ein weitläufiges Beweisverfahren erspart werden kann, erfüllt ist ( BGE 133 IV 288 E. 3.2 S. 292; Urteil 9C_446/2007 vom 5. Dezember 2007, E. 3 mit Hinweisen). Auf Beschwerden gegen vorinstanzliche Rückweisungsentscheide, mit denen einzig eine ergänzende Sachverhaltsabklärung angeordnet wird, ist in der Regel nicht einzutreten (Urteile 8C_742/2007 vom 4. April 2008, E. 3, und 9C_446/2007 vom 5. Dezember 2007, E. 3 mit weiteren Hinweisen). Die Vorinstanz hat die Beschwerdeführerin angewiesen, eine erneute Begutachtung der andauernden somatischen Unfallrestfolgen und der sekundären psychiatrischen Gesundheitsstörungen unter Berücksichtigung der aktenkundig diskutierten Diagnosen einer Tendovaginitis stenosans und eines Morbus Sudeck bzw. eines komplexen regionalen Schmerzsyndroms (CPRS) in Auftrag zu geben, um eine umfassende und abschliessende Beurteilung des massgebenden Gesundheitsschadens und dessen Auswirkungen auf die Arbeitsfähigkeit vornehmen zu können. Gestützt darauf wird die Branchen Versicherung anschliessend die Anspruchsvoraussetzungen des natürlichen und adäquaten Kausalzusammenhangs zu prüfen und sodann über einen allfälligen weiteren Anspruch auf Leistungen nach UVG (Heilbehandlung, Taggeld, Invalidenrente und Integritätsentschädigung) ab 1. Juni 2006 neu zu verfügen haben. Bei diesen ergänzenden medizinischen Abklärungen handelt es sich nicht um ein weitläufiges Beweisverfahren mit einem bedeutenden Aufwand an Zeit oder Kosten.</w:t>
      </w:r>
    </w:p>
    <w:p>
      <w:r>
        <w:rPr>
          <w:b/>
        </w:rPr>
        <w:t>E. 4</w:t>
      </w:r>
    </w:p>
    <w:p>
      <w:r>
        <w:t>Dem Ausgang des Verfahrens entsprechend hat die Beschwerdeführerin die Gerichtskosten zu tragen ( Art. 66 Abs. 1 BGG ). Dem anwaltlich vertretenen Beschwerdegegner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