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8C_641/2022 vom 3. Februar 2023</w:t>
      </w:r>
    </w:p>
    <w:p>
      <w:r>
        <w:t>Bundesgericht, 2023-02-03, DE</w:t>
      </w:r>
    </w:p>
    <w:p>
      <w:r>
        <w:rPr>
          <w:b/>
        </w:rPr>
        <w:t xml:space="preserve">Quelle: </w:t>
      </w:r>
      <w:r>
        <w:t>https://mcp.opencaselaw.ch/entscheid/bger_8C_641_2022</w:t>
      </w:r>
    </w:p>
    <w:p>
      <w:r>
        <w:t>FR: TF 8C_641/2022 du 3 février 2023</w:t>
      </w:r>
    </w:p>
    <w:p>
      <w:r>
        <w:t>IT: TF 8C_641/2022 del 3 febbraio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die Vorinstanz Bundesrecht verletzte, indem sie in Bestätigung des Einspracheentscheids der Arbeitslosenkasse vom 31. Mai 2021 einen Anspruch auf Kurzarbeitsentschädigung für die genannten acht Mitarbeitenden verneinte.</w:t>
      </w:r>
    </w:p>
    <w:p>
      <w:r>
        <w:rPr>
          <w:b/>
        </w:rPr>
        <w:t>E. 3.1</w:t>
      </w:r>
    </w:p>
    <w:p>
      <w:r>
        <w:t>Nach Art. 17 Abs. 1 lit. e des Bundesgesetzes über die gesetzlichen Grundlagen für Verordnungen des Bundesrates zur Bewältigung der Covid-19-Epidemie vom 25. September 2020 (Covid-19-Gesetz; SR 818.102; rückwirkend in Kraft getreten auf den 1. September 2020 durch die Änderung des Covid-19-Gesetzes vom 18. Dezember 2020; AS 2020 5821; in Kraft bis 31. Dezember 2022; AS 2021 878 Ziff. II Abs. 2; BBl 2021 2515) kann der Bundesrat vom AVIG abweichende Bestimmungen erlassen über Anspruch und Auszahlung von Kurzarbeitsentschädigung für Mitarbeiterinnen und Mitarbeiter auf Abruf in unbefristeten Arbeitsverhältnissen.</w:t>
      </w:r>
    </w:p>
    <w:p>
      <w:r>
        <w:rPr>
          <w:b/>
        </w:rPr>
        <w:t>E. 3.2</w:t>
      </w:r>
    </w:p>
    <w:p>
      <w:r>
        <w:t>Der Bundesrat schuf mit der Verordnung über Massnahmen im Bereich der Arbeitslosenversicherung im Zusammenhang mit dem Coronavirus (Covid-19) vom 20. März 2020 (Covid-19-Verordnung Arbeitslosenversicherung; SR 837.033) Erleichterungen in Bezug auf die Kurzarbeit.</w:t>
      </w:r>
    </w:p>
    <w:p>
      <w:r>
        <w:t>Am 8. April 2020 weitete der Bundesrat den Anspruch auf Kurzarbeitsentschädigung auf Arbeitnehmerinnen und Arbeitnehmer auf Abruf aus (AS 2020 1201). Art. 8f Abs. 1 Covid-19-Verordnung Arbeitslosenversicherung (eingefügt durch Ziff. I 1 der Verordnung vom 8. April 2020 über ergänzende Massnahmen im Zusammenhang mit dem Coronavirus im Bereich der Arbeitslosenversicherung) bestimmt demnach in der hier anwendbaren, vom 1. September 2020 bis 31. März 2022 in Kraft stehenden Fassung (AS 2020 4517), dass in Abweichung von Art. 31 Abs. 3 lit. a und 33 Abs. 1 lit. b AVIG Arbeitnehmerinnen und Arbeitnehmer auf Abruf, deren Beschäftigungsgrad starken Schwankungen unterliegt (mehr als 20 %), ebenfalls Anspruch auf Kurzarbeitsentschädigung haben, sofern sie seit mindestens sechs Monaten unbefristet in dem Unternehmen arbeiten, das Kurzarbeit anmeldet.</w:t>
      </w:r>
    </w:p>
    <w:p>
      <w:r>
        <w:t>Gemäss Art. 8f Abs. 2 der Covid-19-Verordnung Arbeitslosenversicherung bestimmt die zuständige Behörde den Arbeitsausfall auf der Basis der letzten sechs oder zwölf Monate und rechnet den für die jeweilige Arbeitnehmerin oder den jeweiligen Arbeitnehmer günstigsten Arbeitsausfall an.</w:t>
      </w:r>
    </w:p>
    <w:p>
      <w:r>
        <w:rPr>
          <w:b/>
        </w:rPr>
        <w:t>E. 4.1</w:t>
      </w:r>
    </w:p>
    <w:p>
      <w:r>
        <w:t>Der Inhalt eines Vertrags ist durch Auslegung zu bestimmen. Ziel der Vertragsauslegung ist es, in erster Linie den übereinstimmenden wirklichen Parteiwillen festzustellen ( Art. 18 Abs. 1 OR ). Diese subjektive Vertragsauslegung beruht auf Beweiswürdigung, die vom Bundesgericht nur unter dem Blickwinkel der Willkür geprüft werden kann und - da eine Tatfrage bzw. die Sachverhaltsfeststellung betreffend - vorbehältlich der Ausnahmen von Art. 97 und 105 BGG (vorstehende E. 1.2) der bundesgerichtlichen Überprüfung entzogen ist ( BGE 135 III 410 E. 3.2; vgl. dazu auch BGE 140 III 86 E. 4.1; 138 III 659 E. 4.2.1; 126 III 375 E. 2e/aa; Urteil 4A_296/2022 vom 22. August 2022 E. 3.2). Steht der Vertragsinhalt fest, ist in einem zweiten Schritt gestützt auf der Grundlage des festgestellten Vertragsinhalts die Vereinbarung rechtlich einzuordnen. Diese rechtliche Qualifikation des Vertrages ist Rechtsfrage ( BGE 143 II 297 E. 6.4.1; 131 III 217 E. 3; 129 III 664 E. 3.1).</w:t>
      </w:r>
    </w:p>
    <w:p>
      <w:r>
        <w:rPr>
          <w:b/>
        </w:rPr>
        <w:t>E. 4.2.1</w:t>
      </w:r>
    </w:p>
    <w:p>
      <w:r>
        <w:t>In Auslegung der Vertragsinhalte qualifizierte die Vorinstanz die Arbeitsverträge der betroffenen Mitarbeitenden als Verträge über (unechte) Arbeit auf Abruf. Sie erwog, es lasse sich den Verträgen jeweils das angestrebte ungefähre Arbeitspensum (bspw. "ca. 40-60 %", "ca. 20 %" oder "ca. 5-10 %" unter dem Titel "Tätigkeiten" entnehmen. Unter "Arbeitszeit" sei ausdrücklich festgehalten, dass der Arbeitnehmende entsprechend seiner Verfügbarkeit und nach Bedarf der Beschwerdeführerin eingesetzt werde. Ihr Bedarf richte sich nach saisonalen Kundenbedürfnissen und dem momentanen Arbeitsanfall. Es bestehe für die Arbeitnehmenden explizit keine Pflicht zur Abrufbereitschaft, weshalb sie diesbezüglich keine Ansprüche geltend machen könnten. Es gebe keinen Anspruch darauf, eine Mindeststundenanzahl beschäftigt zu werden. Die durchschnittliche jährliche Arbeitszeit entspreche aber grundsätzlich dem unter "Tätigkeiten" erwähnten Pensum, das aber nicht garantiert sei. Angesichts der während und in Kenntnis der andauernden Corona-Pandemie abgeschlossenen Arbeitsverträge habe die Beschwerdeführerin ihr unternehmerisches Risiko durch eine gewisse Unverbindlichkeit hinsichtlich der Arbeitspensen minimieren wollen.</w:t>
      </w:r>
    </w:p>
    <w:p>
      <w:r>
        <w:rPr>
          <w:b/>
        </w:rPr>
        <w:t>E. 4.2.2</w:t>
      </w:r>
    </w:p>
    <w:p>
      <w:r>
        <w:t>Weiter erwog das kantonale Gericht, die Arbeitseinsätze richteten sich zusammenfassend nach dem Bedarf der Beschwerdeführerin sowie der Verfügbarkeit der Arbeitnehmenden, ohne dass sich diese auf Abruf bereit zu halten hätten, was auf unechte Arbeit auf Abruf schliessen liesse. Die Arbeitseinsätze kämen damit grundsätzlich in gegenseitigem Einverständnis zustande. Dass jeweils im Vormonat unter Berücksichtigung der Verfügbarkeit der Arbeitnehmenden ein Dienstplan erarbeitet worden sei, den diese stillschweigend angenommen hätten, stehe dem nicht entgegen.</w:t>
      </w:r>
    </w:p>
    <w:p>
      <w:r>
        <w:rPr>
          <w:b/>
        </w:rPr>
        <w:t>E. 4.2.3</w:t>
      </w:r>
    </w:p>
    <w:p>
      <w:r>
        <w:t>Mit Blick auf die tatsächlich geleisteten Arbeitsstunden erhob die Vorinstanz sodann beträchtliche Schwankungen. Eine normale Arbeitszeit lasse sich nicht ermitteln, wobei die betroffenen Arbeitsverhältnisse allesamt unbestritten noch nicht sechs Monate gedauert hätten.</w:t>
      </w:r>
    </w:p>
    <w:p>
      <w:r>
        <w:t>Unabhängig von der Qualifikation der Arbeitsverträge liesse sich auch mithilfe der Arbeitspläne und der kontrollierbaren Arbeitszeiterfassung, insbesondere angesichts der kurzen, weniger als sechs Monate dauernden Arbeitsverhältnisse und der starken Schwankungen im Beschäftigungsgrad der einzelnen Arbeitnehmenden, keine normale Arbeitszeit und folglich auch kein Arbeitszeitausfall bestimmen.</w:t>
      </w:r>
    </w:p>
    <w:p>
      <w:r>
        <w:rPr>
          <w:b/>
        </w:rPr>
        <w:t>E. 5.1</w:t>
      </w:r>
    </w:p>
    <w:p>
      <w:r>
        <w:t>Die Ausführungen der Beschwerdeführerin erschöpfen sich weitgehend in einer appellatorischen Kritik an der Vertragsinterpretation der Vorinstanz, soweit sie sich darauf beschränkt, der Vertragsauslegung im angefochtenen Entscheid ihre eigene Auffassung gegenüberzustellen. Sie erhebt keine rechtsgenügend begründeten Rügen, in denen sie unter hinreichender Auseinandersetzung mit den betreffenden Erwägungen der Vorinstanz darlegen würde, inwiefern diese - mit ihrer das Tatsächliche beschlagenden Feststellung des übereinstimmenden wirklichen Parteiwillens über den Vertragsinhalt - in Willkür verfallen sein soll (vgl. vorstehende E. 1.2).</w:t>
      </w:r>
    </w:p>
    <w:p>
      <w:r>
        <w:rPr>
          <w:b/>
        </w:rPr>
        <w:t>E. 5.2</w:t>
      </w:r>
    </w:p>
    <w:p>
      <w:r>
        <w:t>Es ist zu wiederholen, dass bei echter Arbeit auf Abruf die Arbeitgeberin den Arbeitnehmer einseitig abrufen kann, wobei dieser einsatzpflichtig ist ( BGE 124 III 249 E. 3; Urteile 4A_334/2017 vom 4. Oktober 2017 E. 2.2; 4A_509/2009 vom 7. Januar 2009 E. 2.3 mit weiteren Hinweisen). Bei der unechten Arbeit auf Abruf trifft den Arbeitnehmer keine Einsatzpflicht. Er hat vielmehr ein Ablehnungsrecht, denn ein Einsatz kommt jeweils durch gegenseitige Vereinbarung zustande (SVR 2022 UV Nr. 38 S. 150, 8C_587/2021 E. 4.3.3.1; Urteile 4A_334/2017 vom 4. Oktober 2017 E. 2.2; 4A_94/2009 vom 7. Januar 2010 E. 2.3).</w:t>
      </w:r>
    </w:p>
    <w:p>
      <w:r>
        <w:t>Während die Arbeitgeberin bei der unechten Arbeit auf Abruf keine Pflicht zur Beschäftigung trifft und sie grundsätzlich nicht in Annahmeverzug geraten kann, ist bei der echten Arbeit auf Abruf Gegenteiliges der Fall. Hier verletzt sie den Arbeitsvertrag, wenn sie keine Arbeit bereit stellt, und gerät in Annahmeverzug, wenn sie auf ein Einsatzangebot des Arbeitnehmers verzichtet (vgl. Urteil 4A_509/2009 vom 7. Januar 2010 E. 2.3). Da der Arbeitnehmer sich für die Einsätze bei der Arbeitgeberin verpflichtet, soll er auch während der gesamten Dauer des Arbeitsverhältnisses mit einer bestimmten Einsatzquote rechnen können. Der Arbeitnehmer hat deshalb während der Dauer des Arbeitsverhältnisses (inkl. Kündigungsfrist) Anspruch auf Lohn, berechnet anhand des Durchschnitts des erhaltenen Einkommens während einer angemessenen Periode ( BGE 125 III 65 E. 5; SVR 2022 UV Nr. 38 S. 150, 8C_587/2021 E. 4.3.3.1; Urteile 4A_534/2017 vom 27. August 2018 E. 4.1; 4A_509/2009 vom 7. Januar 2010 E. 2.3).</w:t>
      </w:r>
    </w:p>
    <w:p>
      <w:r>
        <w:rPr>
          <w:b/>
        </w:rPr>
        <w:t>E. 5.3</w:t>
      </w:r>
    </w:p>
    <w:p>
      <w:r>
        <w:t>Der Beschwerdeführerin ist zuzustimmen, dass echte wie unechte Arbeit auf Abruf zulässige Arbeitsformen darstellen. Soweit sie aber aus der bundesgerichtlichen Rechtsprechung gemäss Urteil 4A_534/2017 vom 27. August 2018 E.4.3 ableiten will, dass sich ein Arbeitnehmer jedenfalls auf eine gewisse Erwerbsquote während der gesamten Dauer des Arbeitsverhältnisses verlassen können müsse, übersieht sie, dass sich dies nur auf Verhältnisse mit echter Arbeit auf Abruf bezieht. Hieraus lässt sich mithin nichts zu ihren Gunsten gewinnen. Bei der unechten Arbeit auf Abruf ist es vielmehr zulässig, wenn die Arbeitgeberin dem Arbeitnehmer ausdrücklich keine minimale Arbeitszeit garantiert, sondern der Einsatz nur bei Bedarf erfolgen soll. Die Beschwerdeführerin legt nicht stichhaltig dar, weshalb die Auslegung der Vorinstanz, wonach mit der jeweiligen Angabe einer ungefähren Einsatzquote in den Arbeitsverträgen kein garantiertes Arbeitspensum vereinbart worden sei, willkürlich sein soll. Dem steht auch nicht entgegen, dass die Beschwerdeführerin jeweils im Vormonat einen Dienstplan ausarbeitete, wie die Vorinstanz bereits darlegte. Es verletzt überdies kein Bundesrecht, wenn die Vorinstanz gestützt auf den von ihr willkürfrei festgestellten Vertragsinhalt das Vorliegen eigentlicher Teilzeitarbeit ausschloss.</w:t>
      </w:r>
    </w:p>
    <w:p>
      <w:r>
        <w:rPr>
          <w:b/>
        </w:rPr>
        <w:t>E. 6.1</w:t>
      </w:r>
    </w:p>
    <w:p>
      <w:r>
        <w:t>Es liegen nach dem Gesagten Arbeitsverhältnisse vor, die als unechte Arbeit auf Abruf zu qualifizieren sind. Nach Art. 11 Abs. 1 AVIG ist ein Arbeitsausfall anrechenbar, wenn er einen Verdienstausfall zur Folge hat und mindestens zwei aufeinander folgende volle Arbeitstage dauert.</w:t>
      </w:r>
    </w:p>
    <w:p>
      <w:r>
        <w:rPr>
          <w:b/>
        </w:rPr>
        <w:t>E. 6.2</w:t>
      </w:r>
    </w:p>
    <w:p>
      <w:r>
        <w:t>Bei der unechten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Hiervon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THOMAS NUSSBAUMER, Arbeitslosenversicherung, in: Soziale Sicherheit, SBVR Bd. XIV, 3. Aufl. 2016, S. 2310 Rz. 151 f.).</w:t>
      </w:r>
    </w:p>
    <w:p>
      <w:r>
        <w:rPr>
          <w:b/>
        </w:rPr>
        <w:t>E. 6.3.1</w:t>
      </w:r>
    </w:p>
    <w:p>
      <w:r>
        <w:t>Vom Grundsatz der Nichtanrechenbarkeit des Arbeitsausfalls kann somit nur abgewichen werden, wenn die vor Beschäftigungseinbruch geleistete Arbeit während längerer Zeit regelmässig und ohne erhebliche Schwankungen war, sodass sich eine individuelle Normalarbeitszeit ermitteln lässt. Daran hat sich, wie die Vorinstanz zu Recht ausgeführt hat, durch die Einführung von Art. 8f Covid-19-Verordnung Arbeitslosenversicherung einzig insofern etwas geändert, als sich die individuelle Normalarbeitszeit anhand eines mindestens sechs Monate dauernden Beobachtungszeitraums errechnen lassen muss, die Beschäftigungsschwankungen hingegen in Abweichung der bis dahin geltenden Praxis in den einzelnen Monaten des Arbeitsverhältnisses im Verhältnis zu den im Monatsdurchschnitt geleisteten Arbeitsstunden mehr als 20 % nach unten oder nach oben ausmachen dürfen (vgl. vorstehende E. 3.2; siehe auch Weisung des SECO in AVIG-Praxis KAE Rz. B31 i.V.m. Rz. B97 der AVIG-Praxis ALE des SECO; ARV 2014 S. 62, 8C_625/2013 E. 3.2).</w:t>
      </w:r>
    </w:p>
    <w:p>
      <w:r>
        <w:rPr>
          <w:b/>
        </w:rPr>
        <w:t>E. 6.3.2</w:t>
      </w:r>
    </w:p>
    <w:p>
      <w:r>
        <w:t>Indem die Beschwerdeführerin hierzu einwendet, der in der Verordnung genannte Beobachtungszeitraum von mindestens sechs vorangehenden Monaten erscheine nicht als angemessen, legt sie nicht dar und ist auch nicht ersichtlich, inwiefern die verordnungsrechtliche Regelung gesetzes- oder verfassungswidrig sein soll.</w:t>
      </w:r>
    </w:p>
    <w:p>
      <w:r>
        <w:rPr>
          <w:b/>
        </w:rPr>
        <w:t>E. 7</w:t>
      </w:r>
    </w:p>
    <w:p>
      <w:r>
        <w:t>Zusammenfassend ist es bundesrechtskonform, wenn die Vorinstanz in Anbetracht des Umstands, dass alle aufgeführten Mitarbeitenden unbestrittenermassen die verlangte Mindestanstellungsdauer von sechs Monaten nicht erfüllen (vgl. vorstehende E. 3.2), diese vom Kurzarbeitsentschädigungsanspruch ausschloss und somit die von der Arbeitslosenkasse auf Fr. 13'150.35 festgesetzte Kurzarbeitsentschädigung für die Abrechnungsperiode Dezember 2020 bestätigte. Die Beschwerde ist demnach unbegründet.</w:t>
      </w:r>
    </w:p>
    <w:p>
      <w:r>
        <w:rPr>
          <w:b/>
        </w:rPr>
        <w:t>E. 8</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