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8C_641/2014 vom 27. Januar 2015</w:t>
      </w:r>
    </w:p>
    <w:p>
      <w:r>
        <w:t>Bundesgericht, 2015-01-27, DE</w:t>
      </w:r>
    </w:p>
    <w:p>
      <w:r>
        <w:rPr>
          <w:b/>
        </w:rPr>
        <w:t xml:space="preserve">Quelle: </w:t>
      </w:r>
      <w:r>
        <w:t>https://mcp.opencaselaw.ch/entscheid/bger_8C_641_2014</w:t>
      </w:r>
    </w:p>
    <w:p>
      <w:r>
        <w:t>FR: TF 8C_641/2014 du 27 janvier 2015</w:t>
      </w:r>
    </w:p>
    <w:p>
      <w:r>
        <w:t>IT: TF 8C_641/2014 del 27 gennaio 2015</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3.1</w:t>
      </w:r>
    </w:p>
    <w:p>
      <w:r>
        <w:t>In tatsächlicher Hinsicht stellte die Vorinstanz fest, in den Monaten September bis Dezember 2011 sei - mit Ausnahme einer Teilzahlung von Fr. 830.-- am 30. Dezember 2011 - kein Lohn ausbezahlt worden. Auch in den Jahren 2012 und 2013 seien nur teilweise und unregelmässig Lohnzahlungen geflossen, sodass der Ausstand am 27. Mai 2013 Fr. 33'711.75 (netto) betragen habe. Die Richtigkeit der jeweiligen Guthaben habe sich die Versicherte jeweils unterschriftlich bestätigen lassen. Eine Betreibung gegen die Arbeitgeberin habe sie am 11. Juni 2013, also nach Auflösung des Arbeitsverhältnisses eingeleitet. Das kantonale Gericht folgerte daraus, die Beschwerdeführerin sei ihrer Schadenminderungspflicht während des Bestehens des Arbeitsverhältnisses nur ungenügend nachgekommen. Während eines solchen seien indessen nicht allzu hohe Anforderungen an die Schadenminderungspflicht zu stellen. Die Versicherte sei insgesamt über 30 Jahre bei der B.________ AG beschäftigt gewesen und damit habe ein gewisses Vertrauensverhältnis bestanden. Es erscheine deshalb nachvollziehbar, dass sie den Zusicherungen auf künftige Lohnzahlungen Glauben schenkte. Die Vorinstanz kam zum Schluss, die Verletzung der Schadenminderungspflicht wiege nicht derart schwer, dass sie mit einer gänzlichen Leistungsverweigerung zu sanktionieren sei. Die Insolvenzentschädigung sei vielmehr lediglich um den Betrag zu reduzieren, auf welchen die Versicherte im Jahre 2012 monatlich durchschnittlich verzichtet habe. In diesem Sinne hiess sie die Beschwerde teilweise gut.</w:t>
      </w:r>
    </w:p>
    <w:p>
      <w:r>
        <w:rPr>
          <w:b/>
        </w:rPr>
        <w:t>E. 3.2</w:t>
      </w:r>
    </w:p>
    <w:p>
      <w:r>
        <w:t>Beschwerdeweise bringt das AWA vor, die Versicherte habe ihre Forderungen nicht mit dem erforderlichen, der Situation angepassten Nachdruck geltend gemacht. Erst nach der Kündigung des Arbeitsverhältnisses sei sie aktiv geworden. Das kantonale Gericht habe zudem nicht beachtet, dass die Versicherte vor ihrer Anstellung als Gerantin vom 30. Mai 2006 bis zum 12. Januar 2011 als Revisionsstelle der B.________ AG im Handelsregister eingetragen gewesen sei. Es sei daher davon auszugehen, dass sie Einblick in den Geschäftsgang der Firma gehabt habe. Es gehe nicht an, wegen eines besonderen persönlichen Verhältnisses zur Arbeitgeberin diese zu schonen, um die vertraglichen Ansprüche später bei der Arbeitslosenversicherung geltend zu machen.</w:t>
      </w:r>
    </w:p>
    <w:p>
      <w:r>
        <w:rPr>
          <w:b/>
        </w:rPr>
        <w:t>E. 4.1</w:t>
      </w:r>
    </w:p>
    <w:p>
      <w:r>
        <w:t>Machen Arbeitnehmende gegenüber dem Arbeitgeber oder der Arbeitgeberin während längerer Zeit keine Anstalten, ihrer Lohnforderung mit hinreichender Deutlichkeit Ausdruck zu verleihen, signalisieren sie mangelndes Interesse. Dadurch verlieren sie auch gegenüber der Arbeitslosenversicherung ihre Schutzbedürftigkeit und Schutzwürdigkeit. 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Eine ursprüngliche Leistungsverweigerung infolge Verletzung der Schadenminderungspflicht im Sinne der zu Art. 55 Abs. 1 AVIG ergangenen Rechtsprechung (E. 2 hiervor)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Rechnung zu tragen (SVR 2014 AlV Nr. 4 S. 9 E. 4.1 [8C_66/2013]). Nach ständiger Rechtsprechung wird eine konsequente und kontinuierliche Weiterverfolgung der eingeleiteten Schritte gefordert, welche in einem der vom Gesetz geforderten zwangsvollstreckungsrechtlichen Stadien münden müssen, damit Anspruch auf Insolvenzentschädigung besteht. Arbeitnehmende sollen sich gegenüber dem Arbeitgeber nämlich so verhalten, als ob es das Institut der Insolvenzentschädigung gar nicht gäbe. Dieses Erfordernis lässt ein längeres Untätigsein nicht zu (SVR 2014 AlV Nr. 4 S. 9 E. 4.2 [8C_66/2013]).</w:t>
      </w:r>
    </w:p>
    <w:p>
      <w:r>
        <w:rPr>
          <w:b/>
        </w:rPr>
        <w:t>E. 4.2</w:t>
      </w:r>
    </w:p>
    <w:p>
      <w:r>
        <w:t>Die Versicherte argumentiert, das AWA sei seiner Begründungspflicht gemäss Art. 95 BGG nicht in genügendem Masse nachgekommen, da in der Beschwerde keine Verletzung von Bundesrecht gerügt werde.</w:t>
      </w:r>
    </w:p>
    <w:p>
      <w:r>
        <w:t>Obwohl eine deutlichere Auseinandersetzung mit dem angefochtenen Entscheid angezeigt gewesen wäre, ist den beschwerdeführerischen Vorbringen insgesamt doch eindeutig genug zu entnehmen, inwiefern das AWA das Recht als verletzt erachtet. Die materiellen Vorbringen sind demnach zu prüfen.</w:t>
      </w:r>
    </w:p>
    <w:p>
      <w:r>
        <w:rPr>
          <w:b/>
        </w:rPr>
        <w:t>E. 4.3</w:t>
      </w:r>
    </w:p>
    <w:p>
      <w:r>
        <w:t>Wie in der Beschwerde richtig vorgebracht wird, liegen überhaupt keine Sachverhaltselemente vor, die darauf hindeuten würden, dass die Versicherte vor Beendigung des Arbeitsverhältnisses etwas unternommen hätte, um zu ihrem Lohn zu kommen. Nach konstanter Rechtsprechung - auf welche auch im angefochtenen Entscheid verwiesen wird - genügt es für die Erfüllung der Schadenminderungspflicht in der Regel nicht, wenn Lohnausstände lediglich mündlich gemahnt werden. Die unterschriftliche Bestätigung der offenen Lohnforderungen kann entgegen der Darstellung der Beschwerdegegnerin qualitativ nicht mit einer schriftlichen Mahnung gleichgesetzt werden. Insbesondere beinhaltet die blosse schriftliche Schuldanerkennung keine nachdrückliche Aufforderung, die Ausstände zeitnah zu begleichen. Vielmehr wird mit der Schuldanerkennung seitens der Gläubigerin Geduld signalisiert. Zu beachten gilt auch die lange Dauer der ausgebliebenen oder nur sporadisch und in kleinen Raten erfolgten Lohnzahlungen und die - auch gemessen am Betrag des monatlichen Nettolohnes von Fr. 4'382.-- - hohen Schulden von Fr. 33'711.--. Bereits drei Monate nach Beginn des Arbeitsverhältnisses als Gerantin wurde der Versicherten vorerst überhaupt kein Lohn mehr ausbezahlt. Die Schulden häuften sich in der Folge weiter an. Trotz Teilzahlungen im Verlaufe der nächsten eineinhalb Jahren wuchs der Ausstand an. Trotzdem blieb die Versicherte untätig. Die Einschätzung des nur ungenügenden Handelns seitens der Beschwerdegegnerin wird denn auch vom kantonalen Gericht geteilt, hält dieses doch in tatsächlicher Hinsicht fest, diese sei während des Bestehens des Arbeitsverhältnisses ihrer Schadenminderungspflicht nur ungenügend nachgekommen. Indem die Vorinstanz trotz dieser Feststellung folgerte, eine - reduzierte - Insolvenzentschädigung sei auszurichten, hat sie Bundesrecht verletzt. Entgegen dem angefochtenen Entscheid gibt es rechtlich keine Möglichkeit, eine "reduzierte Insolvenzentschädigung" zuzusprechen, "weil die Verletzung der Schadenminderungspflicht jedenfalls nicht so schwer wiegt, dass sie mit einer gänzlichen Leistungsverweigerung zu sanktionieren wäre". Entweder wurde die Schadenminderungspflicht in einem bestimmten Zeitraum in schwerem Masse verletzt, womit eine versicherte Person keinen Leistungsanspruch hat, oder eine eventuelle Pflichtverletzung ist als weniger schwer einzustufen, sodass von einer Sanktion abzusehen ist. Ausser dem langandauernden Arbeitsverhältnis und dem fortgeschrittenen Alter der Versicherten hat das kantonale Gericht keine weiteren Umstände genannt, welche das Verhalten der Beschwerdegegnerin einsichtig und nachvollziehbar erscheinen liessen, weshalb der angefochtene Entscheid in Gutheissung der Beschwerde aufgehoben und der Anspruch der Versicherten auf Insolvenzentschädigung wegen Verletzung der Schadenminderungspflicht vor der Konkurseröffnung zu verneinen ist.</w:t>
      </w:r>
    </w:p>
    <w:p>
      <w:r>
        <w:rPr>
          <w:b/>
        </w:rPr>
        <w:t>E. 5</w:t>
      </w:r>
    </w:p>
    <w:p>
      <w:r>
        <w:t>Dem Verfahrensausgang entsprechend hat die unterliegende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