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8C_640/2023 vom 19. April 2024</w:t>
      </w:r>
    </w:p>
    <w:p>
      <w:r>
        <w:t>Bundesgericht, 2024-04-19, FR</w:t>
      </w:r>
    </w:p>
    <w:p>
      <w:r>
        <w:rPr>
          <w:b/>
        </w:rPr>
        <w:t xml:space="preserve">Quelle: </w:t>
      </w:r>
      <w:r>
        <w:t>https://mcp.opencaselaw.ch/entscheid/bger_8C_640_2023</w:t>
      </w:r>
    </w:p>
    <w:p>
      <w:r>
        <w:t>FR: TF 8C_640/2023 du 19 avril 2024</w:t>
      </w:r>
    </w:p>
    <w:p>
      <w:r>
        <w:t>IT: TF 8C_640/2023 del 19 aprile 2024</w:t>
      </w:r>
    </w:p>
    <w:p>
      <w:pPr>
        <w:pStyle w:val="Heading2"/>
      </w:pPr>
      <w:r>
        <w:t>Erwägungen</w:t>
      </w:r>
    </w:p>
    <w:p>
      <w:r>
        <w:rPr>
          <w:b/>
        </w:rPr>
        <w:t>E. 1.1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1.2.1</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135 V 141 consid. 1.1).</w:t>
      </w:r>
    </w:p>
    <w:p>
      <w:r>
        <w:rPr>
          <w:b/>
        </w:rPr>
        <w:t>E. 1.2.2</w:t>
      </w:r>
    </w:p>
    <w:p>
      <w:r>
        <w:t>Par ailleurs, un arrêt qui ne tranche que certains aspects d'un même rapport juridique litigieux n'est en règle générale pas une décision partielle, mais une décision incidente qui ne peut faire l'objet d'un recours qu'aux conditions de l' art. 93 LTF . Tel est généralement le cas, par exemple, d'un arrêt par lequel un tribunal renvoie la cause à un assureur social pour nouvelle décision, en lui donnant des instructions sur la manière de trancher certains aspects du rapport de droit litigieux ( ATF 140 V 321 consid. 3.1; 133 V 477 consid. 4.2). Cela étant, l'assureur social qui voit sa décision initiale annulée et doit statuer à nouveau à la suite de cet arrêt subit un préjudice irréparable au sens de l' art. 93 al. 1 let. a LTF . En effet, il ne pourra plus recourir contre sa propre décision après avoir suivi les instructions de l'arrêt de renvoi. Il peut donc recourir immédiatement contre cet arrêt ( ATF 145 V 266 consid. 1.3; 145 I 239 consid. 3.3; 141 V 330 consid. 1.2; 133 V 477 consid. 5.2.2).</w:t>
      </w:r>
    </w:p>
    <w:p>
      <w:r>
        <w:rPr>
          <w:b/>
        </w:rPr>
        <w:t>E. 1.3</w:t>
      </w:r>
    </w:p>
    <w:p>
      <w:r>
        <w:t>En l'espèce, le litige porte sur la remise d'une obligation de restituer au sens de l'art. 25 al. 1, deuxième phrase, LPGA, laquelle est soumise à la réalisation de deux conditions matérielles cumulatives ( ATF 126 V 48 consid. 3c; arrêt 8C_207/2023 du 7 septembre 2023 consid. 3.3). En tant qu'il renvoie le dossier à l'autorité administrative pour qu'elle examine la seconde condition posée à l'octroi d'une remise, l'arrêt entrepris doit être qualifié de décision incidente au sens de l' art. 93 LTF . Pour autant, cet arrêt de renvoi ne laisse plus de latitude de jugement à l'autorité administrative sur l'un des aspects de la remise de l'obligation de restituer, à savoir la bonne foi de l'intimée. Aussi, le recourant pourrait-il être tenu de rendre, sur la base de cet élément, une décision qui, selon lui, est contraire au droit fédéral. En cela, il subit un préjudice irréparable au sens de l' art. 93 al. 1 let. a LTF .</w:t>
      </w:r>
    </w:p>
    <w:p>
      <w:r>
        <w:rPr>
          <w:b/>
        </w:rPr>
        <w:t>E. 2</w:t>
      </w:r>
    </w:p>
    <w:p>
      <w:r>
        <w:t>Le recourant n'a pas qualité pour former un recours en matière de droit public pour ce qui est des prestations complémentaires prévues par le droit cantonal ( ATF 134 V 53 ). C'est donc à raison qu'il a limité ses conclusions aux prestations complémentaires fondées sur le droit fédéral.</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4.1</w:t>
      </w:r>
    </w:p>
    <w:p>
      <w:r>
        <w:t>Les premiers juges ont constaté que le 24 mars 2022, le SPC avait adressé à l'intimée une décision de prestations complémentaires, tout en invitant cette dernière à contrôler attentivement les montants indiqués sur le plan de calcul, afin de s'assurer qu'ils correspondaient bien à la situation réelle. Les juges cantonaux ont également retenu qu'entre le moment où l'intimée avait été informée par sa caisse de pension le 22 avril 2022 de l'indexation de sa rente à partir du 1</w:t>
      </w:r>
    </w:p>
    <w:p>
      <w:r>
        <w:t>er avril 2022 et le moment où elle avait transmis cette information au SPC le 14 juillet 2022, il s'était écoulé un délai de deux mois et trois semaines. Il s'était par ailleurs écoulé un mois entre le moment où l'intimée avait été informée de la deuxième indexation de sa rente par courrier de la caisse de pension du 22 juillet 2022 et le moment où elle avait envoyé copie de ce courrier au SPC le 25 août 2022. En l'absence de règles portant sur la question de savoir à partir de quand un retard dans l'obligation d'informer est constitutif d'une négligence grave, les premiers juges ont estimé, par analogie avec les délais de recours, qu'une information transmise dans un délai d'un mois n'était pas tardive. Dans le cas d'espèce, il y avait donc lieu de constater que le retard concernant la première notification de l'indexation de la rente n'était que de un mois et trois semaines, et que la notification de la seconde indexation de la rente avait été faite dans le délai d'un mois. En outre, l'examen du dossier montrait que l'intimée s'était toujours montrée coopérante avec le SPC en fournissant régulièrement les pièces demandées. Compte tenu de ces éléments, la cour cantonale est arrivée à la conclusion que l'intimée n'avait pas commis une négligence grave en transmettant tardivement l'information de sa caisse de pension concernant l'indexation de sa rente. Tout au plus s'agissait-il d'une négligence légère et isolée chez une assurée qui avait par ailleurs été diligente.</w:t>
      </w:r>
    </w:p>
    <w:p>
      <w:r>
        <w:rPr>
          <w:b/>
        </w:rPr>
        <w:t>E. 4.2</w:t>
      </w:r>
    </w:p>
    <w:p>
      <w:r>
        <w:t>Le recourant estime pour sa part que la bonne foi de l'intimée aurait dû être niée. Dès lors que la condition de la bonne foi devait être réalisée au moment où la personne assurée percevait les prestations indues dont la restitution était exigée, le comportement habituellement diligent de l'intimée n'était pas pertinent pour en conclure que la violation de son devoir d'information ne procédait que d'une négligence légère. Par ailleurs, lorsque l'intimée avait été informée par courrier du 22 avril 2022 de l'indexation de sa rente dès le 1</w:t>
      </w:r>
    </w:p>
    <w:p>
      <w:r>
        <w:t>er avril 2022, elle ne pouvait ignorer le fait qu'elle allait recevoir des prestations complémentaires trop élevées et savait ou devait savoir qu'elle devrait restituer le trop-perçu. Enfin, s'agissant du délai d'annonce d'un changement de situation, le recourant fait valoir qu'il incombe à une personne assurée d'informer immédiatement la caisse de compensation compétente d'un revenu supplémentaire de nature à influencer le droit aux prestations. En n'informant le recourant de l'indexation de sa rente que le 14 juillet 2022, soit plus de deux mois et demi après avoir reçu le courrier du 22 avril 2022, l'intimée avait par conséquent commis une négligence grave.</w:t>
      </w:r>
    </w:p>
    <w:p>
      <w:r>
        <w:rPr>
          <w:b/>
        </w:rPr>
        <w:t>E. 5</w:t>
      </w:r>
    </w:p>
    <w:p>
      <w:r>
        <w:t>Aux termes de l' art. 25 al. 1 LPGA (RS 830.1), les prestations indûment touchées doivent être restituées. La restitution ne peut être exigée lorsque l'intéressé était de bonne foi et qu'elle le mettrait dans une situation difficile.</w:t>
      </w:r>
    </w:p>
    <w:p>
      <w:r>
        <w:rPr>
          <w:b/>
        </w:rPr>
        <w:t>E. 5.1</w:t>
      </w:r>
    </w:p>
    <w:p>
      <w:r>
        <w:t>Le litige porte en l'occurrence sur la question de la remise de l'obligation de restituer les prestations complémentaires indûment perçues - le principe n'étant lui-même plus contesté -, singulièrement sur le point de savoir si l'intimée peut invoquer sa bonne foi.</w:t>
      </w:r>
    </w:p>
    <w:p>
      <w:r>
        <w:rPr>
          <w:b/>
        </w:rPr>
        <w:t>E. 5.2</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avec les renvois).</w:t>
      </w:r>
    </w:p>
    <w:p>
      <w:r>
        <w:t>Il y a négligence grave quand un ayant droit ne se conforme pas à ce qui peut raisonnablement être exigé d'une personne capable de discernement dans une situation identique et dans les mêmes circonstances ( ATF 110 V 176 consid. 3d; SYLVIE PÉTREMAND, Commentaire romand, Loi sur la partie générale des assurances sociales, n° 63 ss ad art. 25).</w:t>
      </w:r>
    </w:p>
    <w:p>
      <w:r>
        <w:rPr>
          <w:b/>
        </w:rPr>
        <w:t>E. 5.3</w:t>
      </w:r>
    </w:p>
    <w:p>
      <w:r>
        <w:t>L'examen de l'attention exigible d'un ayant droit qui invoque sa bonne foi relève du droit et le Tribunal fédéral revoit librement ce point ( ATF 122 V 221 consid. 3).</w:t>
      </w:r>
    </w:p>
    <w:p>
      <w:r>
        <w:rPr>
          <w:b/>
        </w:rPr>
        <w:t>E. 6</w:t>
      </w:r>
    </w:p>
    <w:p>
      <w:r>
        <w:t>L'intimée a eu connaissance de l'indexation de sa rente à partir du 1</w:t>
      </w:r>
    </w:p>
    <w:p>
      <w:r>
        <w:t>er avril 2022 le 23 avril 2022 au plus tôt, comme l'ont retenu les premiers juges. A ce moment-là, elle aurait dû se rendre compte que le corollaire de cette augmentation de revenus était une réduction rétroactive des prestations complémentaires avec demande de restitution correspondante des prestations perçues en trop, ce d'autant plus que le 24 mars 2022, le SPC lui avait adressé une décision de prestations complémentaires en l'invitant à contrôler attentivement les montants indiqués sur le plan de calcul, afin de s'assurer qu'ils correspondaient bien à la situation réelle. Il lui incombait dès lors d'informer immédiatement le SPC de cette nouvelle situation (cf. art. 24 OPC-AVS/AI ), ce qu'elle n'a fait que plus de deux mois et demi plus tard, soit le 14 juillet 2022. Le Tribunal fédéral a déjà eu l'occasion de juger qu'un délai de deux mois pour se conformer à son obligation de renseigner l'administration d'une augmentation de ses revenus relevait d'une négligence grave excluant la bonne foi (cf. arrêt 8C_766/2007 du 17 avril 2008 consid. 4.3). Par ailleurs, quand bien même le retard dans la communication de la seconde indexation de rente était moindre, l'intimée ne pouvait ignorer que cette modification de revenu avait pour corollaire une adaptation des prestations complémentaires et qu'elle devrait restituer le trop-perçu. Il s'ensuit qu'elle ne peut pas se prévaloir de sa bonne foi, en l'absence d'autres circonstances particulières, ce qui exclut la remise de l'obligation de restituer. Il s'ensuit que le recours est bien fondé.</w:t>
      </w:r>
    </w:p>
    <w:p>
      <w:r>
        <w:rPr>
          <w:b/>
        </w:rPr>
        <w:t>E. 7</w:t>
      </w:r>
    </w:p>
    <w:p>
      <w:r>
        <w:t>Au regard de l'issue du litige, les frais judiciaires sont mis à la charge de l'intimée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