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63/2013 vom 2. April 2013</w:t>
      </w:r>
    </w:p>
    <w:p>
      <w:r>
        <w:t>Bundesgericht, 2013-04-02, DE</w:t>
      </w:r>
    </w:p>
    <w:p>
      <w:r>
        <w:rPr>
          <w:b/>
        </w:rPr>
        <w:t xml:space="preserve">Quelle: </w:t>
      </w:r>
      <w:r>
        <w:t>https://mcp.opencaselaw.ch/entscheid/bger_8C_63_2013</w:t>
      </w:r>
    </w:p>
    <w:p>
      <w:r>
        <w:t>FR: TF 8C 63/2013 du 2 avril 2013</w:t>
      </w:r>
    </w:p>
    <w:p>
      <w:r>
        <w:t>IT: TF 8C 63/2013 del 2 aprile 2013</w:t>
      </w:r>
    </w:p>
    <w:p>
      <w:pPr>
        <w:pStyle w:val="Heading2"/>
      </w:pPr>
      <w:r>
        <w:t>Regeste</w:t>
      </w:r>
    </w:p>
    <w:p>
      <w:r>
        <w:t>Invalidenversicherung (Rentenaufhebung)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2</w:t>
      </w:r>
    </w:p>
    <w:p>
      <w:r>
        <w:t>Streitig ist, ob die Vorinstanz zu Recht die von der IV-Stelle verfügte Rentenaufhebung geschützt hat.</w:t>
      </w:r>
    </w:p>
    <w:p>
      <w:r>
        <w:rPr>
          <w:b/>
        </w:rPr>
        <w:t>E. 3</w:t>
      </w:r>
    </w:p>
    <w:p>
      <w:r>
        <w:t>Die Vorinstanz hat die Bestimmungen und Grundsätze über die Begriffe der Invalidität ( Art. 8 Abs. 1 ATSG in Verbindung mit Art. 4 Abs. 1 IVG ), der Erwerbsunfähigkeit ( Art. 7 ATSG ) und der Arbeitsunfähigkeit ( Art. 6 ATSG ) zutreffend dargelegt. Dasselbe gilt für den Anspruch auf eine Invalidenrente ( Art. 28 Abs. 2 IVG ), die Voraussetzungen einer Revision der Invalidenrente ( Art. 17 ATSG ; BGE 134 V 131 E. 3 S. 132 mit Hinweisen), namentlich die zeitlichen Vergleichspunkte ( BGE 133 V 108 E. 5.4 S. 114; 130 V 71 ), die Aufgabe der Ärzte bei der Ermittlung des Invaliditätsgrades ( BGE 132 V 93 E. 4 S. 99 mit Hinweisen), den üblichen Beweisgrad der überwiegenden Wahrscheinlichkeit ( BGE 126 V 353 E. 5b S. 360) sowie den Beweiswert ärztlicher Berichte ( BGE 134 V 231 E. 5.1 S. 232; 125 V 351 E. 3a S. 352). Ebenfalls richtig dargelegt werden die Voraussetzungen der Wiedererwägung ( Art. 53 Abs. 2 ATSG ) sowie einer Überprüfung der Renten gemäss lit. a der Schlussbestimmungen der auf den 1. Januar 2012 in Kraft getretenen 6. IV-Revision, erstes Massnahmenpaket. Darauf wird verwiesen.</w:t>
      </w:r>
    </w:p>
    <w:p>
      <w:r>
        <w:rPr>
          <w:b/>
        </w:rPr>
        <w:t>E. 4</w:t>
      </w:r>
    </w:p>
    <w:p>
      <w:r>
        <w:t>Die Vorinstanz hat gestützt auf das polydisziplinäre MEDAS-Gutachten vom 8. März 2011 einerseits sowie die umfangreichen früheren medizinischen Unterlagen andererseits die Voraussetzungen einer Rentenrevision nach Art. 17 ATSG sowie einer Wiedererwägung nach Art. 53 ATSG verneint, jedoch die Rentenaufhebung gestützt auf lit. a der Schlussbestimmungen zur 6. IV-Revision, erstes Massnahmenpaket, geschützt. Die Versicherte macht insbesondere geltend, es könne nicht auf das MEDAS-Gutachten vom 8. März 2011 abgestellt werden, da es nicht den Anforderungen der Rechtsprechung genüge. Entgegen der Ansicht der Versicherten besteht kein Anspruch darauf, dass die versicherte Person ihre Einwände zum Gutachten direkt den Experten vorträgt; daran hat auch BGE 137 V 210 nichts geändert. Diesbezüglich ist darauf hinzuweisen, dass das MEDAS-Gutachten vom 8. März 2011 vor Erlass des BGE 137 V 219 (28. Juni 2011) erstattet wurde und dementsprechend die dortigen Ausführungen gar nicht berücksichtigen konnte. Das MEDAS-Gutachten vom 8. März 2011 wurde zudem im Rahmen der damals geltenden Anforderungen korrekt eingeholt (vorgängige namentliche Mitteilung der Experten; Gewährung des rechtlichen Gehörs zum Gutachten im Rahmen des Vorbescheids), so dass gemäss BGE 137 V 210 E. 6 S. 266 dennoch auf das MEDAS-Gutachten vom 8. März 2011 abgestellt werden kann. Soweit die Versicherte die Mitwirkung des Dr. med. K.________ als psychiatrischen und neurologischen Experten rügen lässt, kann ihr nicht gefolgt werden; massgebend ist in dieser Hinsicht einzig, ob der (unabhängige) Sachverständige über das notwendige Fachwissen verfügt. Dies darf hier vorausgesetzt werden, verfügt der Experte doch über den Facharzttitel in beiden Fachgebieten. Im Übrigen sind die Einwände vor Bundesgericht praktisch identisch mit jenen vor dem Versicherungsgericht, so dass mangels Auseinandersetzung mit dem kantonalen Entscheid auf die entsprechenden vorinstanzlichen Erwägungen verwiesen werden kann. Dasselbe gilt für die Kritik an der Rechtsprechung zu den somatoformen Schmerzstörungen und damit vergleichbaren Beschwerdebildern, welche vom Bundesgericht mit einlässlicher Begründung zurückgewiesen worden ist (SVR 2012 IV Nr. 32 S. 127, 9C_776/2010), und für die Einwände gegen die mit BGE 136 V 279 erstellten Voraussetzungen zur Aufhebung einer Rente, welche gestützt auf medizinische Grundlagen, die heute keinen Anspruch auf eine Invalidenrente mehr begründen könnten, zugesprochen wurde, zumal diese Rechtsprechung vom Gesetzgeber im Rahmen der 6. IV-Revision auf Gesetzesstufe verankert worden ist (vgl. lit. a der Schlussbestimmungen zur 6. IV-Revision, erstes Massnahmenpaket; vgl. auch Urteil 8C_413/2012 vom 22. August 2012 E. 5 mit Hinweisen). Daran vermögen weder der Hinweis auf die "gesetzestechnischen Richtlinien des Bundes" noch die Ausführungen über die Begrifflichkeit von "Ätiologie" und "Pathogenese" etwas zu ändern. Selbst wenn der Gesetzgeber gegen entsprechende Richtlinien verstossen hätte, wäre dieses Bundesgesetz vom 18. März 2011 (AS 2011 5659; BBl 2010 1817), zu welchem auch die entsprechenden Schluss- und Übergangsbestimmungen gehören (vgl. zum Charakter von Übergangsbestimmungen als materiellem Zwischenrecht Ulrich Meyer/Peter Arnold, Intertemporales Recht, ZSR 2005 I 115 ff., 118 sowie Alfred Kölz, Intertemporales Verwaltungsrecht, ZSR 1983 II 101 ff., 240 ff.), für das Bundesgericht verbindlich ( Art. 190 BV ). Was die Bemerkungen zu den Begriffen "Pathogenese" und "Ätiologie" betrifft, kann auf das Grundsatzurteil des Bundesgerichts (SVR 2012 IV Nr. 32 S. 127, 9C_776/2010) verwiesen werden. Schliesslich rügt die Versicherte den Verzicht der Vorinstanz auf die Durchführung eines Einkommensvergleichs. Eine Invalidität kann nach Art. 6 ff. ATSG nur vorliegen, wenn auch eine Arbeitsunfähigkeit gegeben ist. Nach dem massgeblichen MEDAS-Gutachten vom 8. März 2011 ist die Versicherte jedoch sowohl in der angestammten Bürotätigkeit als auch in jeder anderen körperlich leichten Arbeit voll arbeitsfähig, so dass der Begriff der Invalidität nicht erfüllt sein kann. Folgerichtig hat die Vorinstanz zu Recht auf einen Einkommensvergleich verzichtet.</w:t>
      </w:r>
    </w:p>
    <w:p>
      <w:r>
        <w:rPr>
          <w:b/>
        </w:rPr>
        <w:t>E. 5</w:t>
      </w:r>
    </w:p>
    <w:p>
      <w:r>
        <w:t>Da die Beschwerde offensichtlich unbegründet ist, wird sie im Verfahren nach Art. 109 BGG d.h. ohne Durchführung eines Schriftenwechsels und mit summarischer Begründung, erledigt.</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