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637/2016 vom 13. Dezember 2016</w:t>
      </w:r>
    </w:p>
    <w:p>
      <w:r>
        <w:t>Bundesgericht, 2016-12-13, DE</w:t>
      </w:r>
    </w:p>
    <w:p>
      <w:r>
        <w:rPr>
          <w:b/>
        </w:rPr>
        <w:t xml:space="preserve">Quelle: </w:t>
      </w:r>
      <w:r>
        <w:t>https://mcp.opencaselaw.ch/entscheid/bger_8C_637_2016</w:t>
      </w:r>
    </w:p>
    <w:p>
      <w:r>
        <w:t>FR: TF 8C 637/2016 du 13 décembre 2016</w:t>
      </w:r>
    </w:p>
    <w:p>
      <w:r>
        <w:t>IT: TF 8C 637/2016 del 13 dicembre 2016</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Der blosse Verweis auf Ausführungen in andern Rechtsschriften oder auf die Akten genügt den Begründungsanforderungen nicht ( BGE 140 III 115 E. 2 mit Hinweisen).</w:t>
      </w:r>
    </w:p>
    <w:p>
      <w:r>
        <w:rPr>
          <w:b/>
        </w:rPr>
        <w:t>E. 2</w:t>
      </w:r>
    </w:p>
    <w:p>
      <w:r>
        <w:t>Streitig und zu prüfen ist, ob eine Leistungspflicht der Beschwerdeführerin für die Behandlung des rechten Knies von A.________ besteht. Der Streit betrifft somit eine Sachleistung und nicht Geldleistungen der Unfallversicherung ( Art. 10 UVG ; Art. 14 ATSG ; Rudolf Ursprung/Petra Fleischanderl, Die Kognition des Eidgenössischen Versicherungsgerichts nach dem Bundesgesetz über das Bundesgericht [BGG], in Festschrift 100 Jahre Aargauischer Anwaltsverband, Zürich 2005, S. 415 ff., S. 427). Die Ausnahmeregelung des Art. 105 Abs. 3 (in Verbindung mit Art. 97 Abs. 2) BGG kommt demnach nicht zur Anwendung. Soweit die Beurteilung von Sachverhaltsfeststellungen abhängt, gilt daher die eingeschränkte Kognition (Art. 97 Abs. 1 in Verbindung mit Art. 105 Abs. 1 und 2 BGG ; BGE 140 V 130 E. 2.1 S. 132, 135 V 412). Das Bundesgericht prüft somit nur, ob das vorinstanzliche Gericht Bundesrecht verletzte, einschliesslich Überschreitung oder Missbrauch des Ermessens, oder ob es den rechtserheblichen Sachverhalt offensichtlich unrichtig, unvollständig oder unter Verletzung wesentlicher Verfahrensbestimmungen feststellte (Urteil 8C_457/2014 vom 5. September 2014 E. 1.2).</w:t>
      </w:r>
    </w:p>
    <w:p>
      <w:r>
        <w:rPr>
          <w:b/>
        </w:rPr>
        <w:t>E. 3.1</w:t>
      </w:r>
    </w:p>
    <w:p>
      <w:r>
        <w:t>Die Vorinstanz hat die rechtlichen Grundlagen zum Unfallbegriff nach Art. 4 ATSG und den unfallähnlichen Körperschädigungen ( Art. 6 Abs. 2 UVG in Verbindung mit Art. 9 Abs. 2 UVV ), die auch ohne ungewöhnliche äussere Einwirkung Unfällen gleichgestellt sind ( BGE 129 V 466 E. 2.2 S. 467), zutreffend dargelegt. Darauf wird verwiesen.</w:t>
      </w:r>
    </w:p>
    <w:p>
      <w:r>
        <w:rPr>
          <w:b/>
        </w:rPr>
        <w:t>E. 3.2</w:t>
      </w:r>
    </w:p>
    <w:p>
      <w:r>
        <w:t>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 BGE 126 V 353 E. 5b S. 360).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(RKUV 2004 Nr. U 524 S. 546 f., U 236/03 E. 3.3.4; Urteile 8C_648/2013 vom 18. Februar 2014 E. 3.2; 8C_696/2013 vom 14. November 2013 E. 2).</w:t>
      </w:r>
    </w:p>
    <w:p>
      <w:r>
        <w:rPr>
          <w:b/>
        </w:rPr>
        <w:t>E. 4.1</w:t>
      </w:r>
    </w:p>
    <w:p>
      <w:r>
        <w:t>Das kantonale Gericht schloss nach Würdigung der Aktenlage,dass die Schilderungen des Versicherten konsistent und glaubhaft seien. So habe er seine erste Aussage anlässlich der Erstbehandlung durch Dr. med. C.________ drei Wochen nach dem Ereignis vom 22. September 2015 getätigt und angegeben, er habe einen Fehltritt beim Joggen gemacht. Gemäss der Bagatell-Unfallmeldung des Arbeitgebers vom 3. Dezember 2015 habe der Versicherte zudem direkt nach dem Training Schmerzen im Knie verspürt. Im Fragebogen vom 21. Dezember 2015 erwähne er des Weiteren einen Schlag aufs Knie während des Joggens, er habe sich aber weder vertrampt, noch sei er ausgerutscht. Diese Aussage habe der Versicherte in seiner Einsprache wiederholt und präzisiert,dass der Schlag aufs Knie Folge davon gewesen sei,dass er mit voller Wucht in ein für ihn nicht einsehbares Loch auf dem Jogging-Weg "getabst" sei. An der Hauptverhandlung habe der Versicherte schliesslich seine Strecke, welche er jeweils von seinem Wohnort Steinegg nach Wasserauen und zurück jogge, noch etwas detaillierter geschildert, wonach er beim Parkplatz Skilift D.________ über die Brücke auf die Wiese gelangt sei, in welcher er in eine Mulde bzw. in ein Loch getreten sei.</w:t>
      </w:r>
    </w:p>
    <w:p>
      <w:r>
        <w:rPr>
          <w:b/>
        </w:rPr>
        <w:t>E. 4.2</w:t>
      </w:r>
    </w:p>
    <w:p>
      <w:r>
        <w:t>Entgegen der Auffassung der Beschwerdeführerin erscheinen auch unter Berücksichtigung der Rechtsprechung zu den "Aussagen der ersten Stunde" (vgl. E. 3.2 hievor) die Feststellungen des kantonalen Gerichts nicht als bundesrechtswidrig. Insbesondere sind die einzelnen Sachverhaltsschilderungen des Versicherten in den entscheidenden Punkten nicht widersprüchlich. So schliessen die erste beim Hausarzt getätigte Darstellung des Ereignis vom 22. September 2015 und die später vom Arbeitgeber des Versicherten gemeldete Sachverhaltsversion nachfolgende Ausführungen des Versicherten zum fraglichen Geschehnis nicht aus. Vielmehr können diese späteren Erklärungen als Präzisierungen zu den ersten Äusserungen des Versicherten verstanden werden. Die Annahme der Vorinstanz, der Vorfall vom 22. September 2015 habe sich wie vom Versicherten geschildert zugetragen, kann somit nicht als offensichtlich unrichtig bezeichnet werden.</w:t>
      </w:r>
    </w:p>
    <w:p>
      <w:r>
        <w:rPr>
          <w:b/>
        </w:rPr>
        <w:t>E. 4.3</w:t>
      </w:r>
    </w:p>
    <w:p>
      <w:r>
        <w:t>Das kantonale Gericht hat des Weiteren erwogen,dass es sich bei dem die Verletzung des Versicherten verursachenden Zwischenfall um eine unfallähnliche Körperschädigung handle und die Beschwerdeführerin gegenüber dem Versicherten somit zur Leistung verpflichtet sei. Gleiches würde gelten, wenn der Versicherte einen Unfall erlitten hätte. Ob der vorinstanzlich festgestellte Geschehensablauf - wie von der Beschwerdeführerin sinngemäss geltend gemacht wird - den Unfallbegriff erfüllen würde, braucht somit nicht näher geprüft zu werden.</w:t>
      </w:r>
    </w:p>
    <w:p>
      <w:r>
        <w:rPr>
          <w:b/>
        </w:rPr>
        <w:t>E. 4.4</w:t>
      </w:r>
    </w:p>
    <w:p>
      <w:r>
        <w:t>Demnach hat die Vorinstanz nicht gegen Bundesrecht verstossen, als sie die Leistungspflicht der Beschwerdeführerin bejahte. Die Beschwerde ist abzuweisen.</w:t>
      </w:r>
    </w:p>
    <w:p>
      <w:r>
        <w:rPr>
          <w:b/>
        </w:rPr>
        <w:t>E. 5</w:t>
      </w:r>
    </w:p>
    <w:p>
      <w:r>
        <w:t>Dem Prozessausgang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