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8C_637/2011 vom 5. Dezember 2011</w:t>
      </w:r>
    </w:p>
    <w:p>
      <w:r>
        <w:t>Bundesgericht, 2011-12-05, DE</w:t>
      </w:r>
    </w:p>
    <w:p>
      <w:r>
        <w:rPr>
          <w:b/>
        </w:rPr>
        <w:t xml:space="preserve">Quelle: </w:t>
      </w:r>
      <w:r>
        <w:t>https://mcp.opencaselaw.ch/entscheid/bger_8C_637_2011</w:t>
      </w:r>
    </w:p>
    <w:p>
      <w:r>
        <w:t>FR: TF 8C_637/2011 du 5 décembre 2011</w:t>
      </w:r>
    </w:p>
    <w:p>
      <w:r>
        <w:t>IT: TF 8C_637/2011 del 5 dicembre 2011</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Gemäss Art. 99 Abs. 1 BGG sind neue Tatsachen und Beweismittel (Noven) im letztinstanzlichen Verfahren grundsätzlich unzulässig. Die Versicherte reicht mit Eingabe vom 24. Oktober 2011 neu ein Gutachten von Dr. med. F.________ zuhanden der Deutschen Rentenversicherung nach. Dieses datiert vom 13. Juli 2011. Die Voraussetzungen, unter denen das neu eingereichte Gutachten ausnahmsweise zulässig wäre, sind vorliegend nicht erfüllt, sodass es unbeachtet bleiben muss (vgl. Urteil 2C_761/2009 vom 18. Mai 2010 E. 4). Gleiches gilt für den nachgereichten Rentenbescheid der deutschen Rentenversicherung vom 26. Oktober 2011.</w:t>
      </w:r>
    </w:p>
    <w:p>
      <w:r>
        <w:rPr>
          <w:b/>
        </w:rPr>
        <w:t>E. 3</w:t>
      </w:r>
    </w:p>
    <w:p>
      <w:r>
        <w:t>Streitig ist, ob die Vorinstanz Bundesrecht verletzte, indem sie den Anspruch des Versicherten auf eine Rente der Invalidenversicherung verneinte. Dabei ist insbesondere die Einschränkung in einer leidensangepassten Tätigkeit sowie das Invalideneinkommen und der Abzug vom Tabellenlohn im Sinne von BGE 126 V 75 E. 5 S. 78 umstritten und zu prüfen.</w:t>
      </w:r>
    </w:p>
    <w:p>
      <w:r>
        <w:rPr>
          <w:b/>
        </w:rPr>
        <w:t>E. 3.1</w:t>
      </w:r>
    </w:p>
    <w:p>
      <w:r>
        <w:t>Nach umfassender Würdigung der medizinischen Aktenlage, insbesondere des interdisziplinären Gutachtens vom 2. August 2010, kam die Vorinstanz zum Schluss, der Beschwerdeführer sei in einer leidensangepassten Tätigkeit voll arbeitsfähig. Wie sie zu Recht feststellte, erscheint dieses Gutachten als schlüssig und nachvollziehbar. Ihm kommt Beweiswert zu. In der Beschwerde wird nichts vorgebracht, das dem entgegen stünde. Entgegen dem Einwand in der Beschwerde haben sich die Ärzte im Abschnitt "Kritische Würdigung vorhandener Arztberichte" des Gutachtens auch mit abweichenden früheren medizinischen Einschätzungen auseinandergesetzt. Bei der rheumatologischen Untersuchung im Rahmen des Gutachtens zeigte sich eine erhebliche Selbstlimitation und ein sehr demonstratives Schmerzverhalten des Beschwerdeführers. Die auffallenden Diskrepanzen zwischen den objektivierbaren klinischen und radiologischen Befunden im Vergleich zu den vom Beschwerdeführer demonstrierten Beschwerden und Schmerzen werden im Gutachten detailliert und eindrücklich anhand der konkreten Untersuchungssituation dargelegt und begründet. Das kantonale Gericht ging auch auf die versicherungsmedizinische Beurteilung des Dr. med. G.________, Facharzt für Innere Medizin vom medizinischen Dienst der AXA Winterthur, vom 15. Dezember 2008 ein und verwies unter anderem auf den Umstand, dass diese Beurteilung keine konkreten Angaben in Bezug auf die Arbeitsfähigkeit in einer adaptierten Tätigkeit enthielt und sich nicht mit den im Gutachten festgestellten auffallenden Diskrepanzen auseinandersetzte. Auch aus dem Belastbarkeitstraining vom 6. April bis 26. Juni 2009 bei der A.________ Arbeitsintegration in C.________ kann nichts anderes gefolgert werden. Die Leistungsfähigkeit dort hing einzig von der subjektiven Leistungsbereitschaft des Beschwerdeführers ab. Die Sozialarbeiter, die den Arbeitseinsatz begleiteten, waren aufgrund ihres fehlenden medizinischen Fachwissens nicht in der Lage, die Diskrepanzen zwischen den demonstrierten Beschwerden und den objektiven Befunden zu erkennen.</w:t>
      </w:r>
    </w:p>
    <w:p>
      <w:r>
        <w:rPr>
          <w:b/>
        </w:rPr>
        <w:t>E. 3.2</w:t>
      </w:r>
    </w:p>
    <w:p>
      <w:r>
        <w:t>Der Beschwerdeführer bringt vor, auch wenn auf die Einschätzung des Gutachtens abgestellt würde, müsste ihm zumindest eine befristete Rente für die Zeit von März 2009 bis September 2010 zugesprochen werden. Diesem Einwand kann nicht gefolgt werden, denn die Beurteilung der Arbeitsfähigkeit in einer angepassten Tätigkeit für diesen Zeitraum beruht, entgegen der Annahme des Beschwerdeführers, nicht nur auf der Einschätzung des RAD-Arztes, sondern ist im Gutachten selber enthalten. Darauf verwies bereits die Vorinstanz. Die Gutachter gaben zwar an, aufgrund der Inkonsistenz der vorliegenden ärztlichen Atteste sei ihnen die (rückwirkende) Beurteilung des Eintritts der Arbeitsunfähigkeit in der zuletzt ausgeübten Tätigkeit als Automatiker und PC-Supporter nicht möglich. Daher gelte ihre Einschätzung ab sofort. Bezüglich einer optimal dem Leiden angepasste Tätigkeit bestehe hingegen auch im retrospektiven Längsschnitt zu keinem Zeitpunkt ein Gesundheitsschaden, der versicherungsmedizinisch betrachtet eine dauerhafte Einschränkung der Arbeitsfähigkeit begründen könnte. Damit lag die von den Gutachtern ermittelte Arbeitsfähigkeit von 100 % in einer leidensangepassten Tätigkeit bereits ab März 2009 vor. Nichts anderes lässt sich aus der versicherungsmedizinischen Beurteilung von Dr. med. G.________ schliessen, dessen Bescheinigung einer Arbeitsunfähigkeit von 100 % sich auf die zuletzt ausgeübte, nicht leidensangepasste Tätigkeit bezog. Zur Einschätzung der Arbeitsfähigkeit durch den behandelnden Arzt Dr. med. M.________ nahmen die Gutachter umfassend Stellung und legten schlüssig dar, weshalb dieser nicht gefolgt werden kann. Den begründeten Ausführungen der Vorinstanz folgend ist daher von einer vollen Arbeitsfähigkeit des Beschwerdeführers bereits ab März 2009 in einer leidensangepassten Tätigkeit auszugehen.</w:t>
      </w:r>
    </w:p>
    <w:p>
      <w:r>
        <w:rPr>
          <w:b/>
        </w:rPr>
        <w:t>E. 4</w:t>
      </w:r>
    </w:p>
    <w:p>
      <w:r>
        <w:t>Bei der Bestimmung des Invaliditätsgrades durch das kantonale Gericht rügt der Versicherte die Ermittlung des Invalidenkommens. Er macht insbesondere geltend, es sei auf den konkreten Lohn der A.________ Arbeitsintegration abzustellen, wo er jetzt in einem Pensum zu 50 % angestellt sei und dabei ein Einkommen von brutto Fr. 2'500.- erziele.</w:t>
      </w:r>
    </w:p>
    <w:p>
      <w:r>
        <w:t>Für die Bestimmung des trotz Gesundheitsschädigung zumutbarerweise noch realisierbaren Invalideneinkommens ist dann von der konkreten beruflich-erwerblichen Situation auszugehen, wenn kumulativ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Wenn alle drei Voraussetzungen erfüllt sind, gilt der tatsächlich erzielte Verdienst als Invalidenlohn ( BGE 135 V 297 E. 5.2 S. 301).</w:t>
      </w:r>
    </w:p>
    <w:p>
      <w:r>
        <w:t>Da dem Beschwerdeführer eine leidensangepasste Tätigkeit zu 100 % zumutbar ist, schöpft er mit seiner 50 % Tätigkeit bei der A.________ Arbeitsintegration seine verbliebene Arbeitsfähigkeit nicht voll aus. Es ist daher nicht zu beanstanden, wenn die Vorinstanz einerseits das erzielte Einkommen bei der A.________ Arbeitsintegration auf ein 100 % Pensum aufrechnete, soweit eine solche Pensumserhöhung möglich ist, und andererseits Tabellenlöhne der Schweizerischen Lohnstrukturerhebung (LSE) heranzog. Bei Erhöhung auf ein 100 % Pensum in der Tätigkeit bei der A.________ Arbeitsintegration würde unbestritten ein Invaliditätsgrad von 26 % resultieren. Wird von LSE-Tabellenlöhnen ausgegangen, würde der an die durchschnittliche wöchentliche Arbeitszeit von 41.6 Stunden angepasste Bruttolohn für eine zumutbare leichte repetitive Tätigkeit (Anforderungsniveau 4; Wert für Männer gemäss LSE 2008, Tabelle TA 1, Total, S. 11) für das Jahr 2009 ein der Nominallohnentwicklung für Männer angepasstes Jahresgehalt von Fr. 61'240.- ergeben (Fr. 4'806.- x 41.6/40 x 12 Monate x 2136/2092; Die Volkswirtschaft, 11/2011, Tabelle 9.2 und B 10.3, S. 94 f.). Die Beschwerdegegnerin nahm von diesem Einkommen einen Abzug von 5 % im Sinn von BGE 126 V 75 vor, der von der Vorinstanz bestätigt wurde. Damit ergibt sich verglichen mit dem unbestrittenen Valideneinkommen von Fr. 73'003.80 ein Invaliditätsgrad von 20 % (abgerundet von 20.31 % gemäss BGE 130 V 121 E. 3.2 S. 122 f.). Der Beschwerdeführer macht einen Abzug von mindestens 15 % geltend. Die Reduktion des Invalideneinkommens beschlägt eine typische Ermessensfrage, welche angesichts der dem Bundesgericht zukommenden Kognition letztinstanzlicher Korrektur nur dort zugänglich ist, wo das kantonale Gericht sein Rechtsermessen rechtsfehlerhaft ausgeübt hat, also Ermessensüberschreitung, -missbrauch oder -unterschreitung vorliegt ( BGE 132 V 393 E. 2.2 S. 396 und E. 3.3 S. 399). Die Beschwerde lässt eine schlüssige Begründung vermissen, weshalb der vorinstanzlich auf 5 % veranschlagte behinderungsbedingte Abzug geradezu missbräuchlich erscheinen soll. Im Übrigen würde auch bei einem maximal möglichen Abzug von 25 % kein rentenbegründender Invaliditätsgrad von mindestens 40 % erreicht. Die Vorinstanz bestätigte die Verneinung eines Rentenanspruchs somit zu Recht. Die Beschwerde ist daher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