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8C_637/2009 vom 18. März 2010</w:t>
      </w:r>
    </w:p>
    <w:p>
      <w:r>
        <w:t>Bundesgericht, 2010-03-18, IT</w:t>
      </w:r>
    </w:p>
    <w:p>
      <w:r>
        <w:rPr>
          <w:b/>
        </w:rPr>
        <w:t xml:space="preserve">Quelle: </w:t>
      </w:r>
      <w:r>
        <w:t>https://mcp.opencaselaw.ch/entscheid/bger_8C_637_2009</w:t>
      </w:r>
    </w:p>
    <w:p>
      <w:r>
        <w:t>FR: TF 8C_637/2009 du 18 mars 2010</w:t>
      </w:r>
    </w:p>
    <w:p>
      <w:r>
        <w:t>IT: TF 8C_637/2009 del 18 marzo 2010</w:t>
      </w:r>
    </w:p>
    <w:p>
      <w:pPr>
        <w:pStyle w:val="Heading2"/>
      </w:pPr>
      <w:r>
        <w:t>Erwägungen</w:t>
      </w:r>
    </w:p>
    <w:p>
      <w:r>
        <w:rPr>
          <w:b/>
        </w:rPr>
        <w:t>E. 1.1</w:t>
      </w:r>
    </w:p>
    <w:p>
      <w:r>
        <w:t>Giusta l' art. 29 cpv. 1 LTF , il Tribunale federale esamina d'ufficio la sua competenza. Esso statuisce così liberamente sulla ricevibilità dei ricorsi che gli sono sottoposti ( DTF 133 I 185 consid. 2 pag. 188 con riferimenti).</w:t>
      </w:r>
    </w:p>
    <w:p>
      <w:r>
        <w:rPr>
          <w:b/>
        </w:rPr>
        <w:t>E. 1.2</w:t>
      </w:r>
    </w:p>
    <w:p>
      <w:r>
        <w:t>Di principio, una decisione di rinvio costituisce formalmente una decisione incidentale, di per sé impugnabile soltanto alle condizioni poste dall' art. 93 cpv. 1 LTF , anche se con essa vengono decisi aspetti parziali materiali della causa ( DTF 133 V 477 consid. 4.2 pag. 481). Anche nel caso di specie, dal momento che non pone fine alla procedura e non serve unicamente a dare esecuzione a quanto da lui ordinato (sentenza 8C_682/2007 del 30 luglio 2008 consid. 1.1, non pubblicato in DTF 134 V 392 , ma in SVR 2008 UV n. 31 pag. 115; cfr. pure sentenza 9C_684/2007 del 27 dicembre 2007 consid. 1.1, in SVR 2008 IV n. 39 pag. 131), il giudizio impugnato va qualificato quale decisione incidentale. L'ammissibilità del ricorso presuppone di conseguenza - in via alternativa - che la pronuncia possa causare un pregiudizio irreparabile (art. 93 cpv. 1 lett. a) oppure che l'accoglimento del ricorso comporterebbe immediatamente una decisione finale consentendo di evitare una procedura probatoria defatigante o dispendiosa (art. 93 cpv. 1 lett. b).</w:t>
      </w:r>
    </w:p>
    <w:p>
      <w:r>
        <w:t>Nella misura in cui ordina alla Sezione del lavoro di effettuare il nuovo calcolo volto a determinare l'esistenza di un grave rigore economico dell'assicurata, tenendo conto di un salario mensile di fr. 4'540.- anziché di fr. 6'000.-, il giudizio impugnato contiene istruzioni di carattere sostanziale che restringono la latitudine di giudizio dell'amministrazione e la obbligano a rendere una decisione che essa ritiene contraria al diritto ( DTF 133 V 477 consid. 5.2, 5.2.1-5.2.4 pag. 483 segg.; cfr. pure sentenza citata 8C_682/2007 consid. 1.2.1). In queste condizioni, l'esistenza di un pregiudizio irreparabile appare manifesta ( DTF 133 III 629 consid. 2.3.1 pag. 632; cfr. inoltre sentenza citata 8C_682/2007 consid. 1.2.2). Ne segue che, sotto questo aspetto, il ricorso è ricevibile.</w:t>
      </w:r>
    </w:p>
    <w:p>
      <w:r>
        <w:rPr>
          <w:b/>
        </w:rPr>
        <w:t>E. 1.3</w:t>
      </w:r>
    </w:p>
    <w:p>
      <w:r>
        <w:t>Anche per il resto il ricorso, interposto da un'autorità legittimata al ricorso in virtù di un'altra legge federale (art. 89 cpv. 2 lett. d LTF in relazione con l' art. 102 cpv. 2 LADI ) e diretto contro una decisione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2.1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Per essere manifestamente inesatto, e quindi arbitrario ( DTF 135 III 397 consid. 1.5 pag. 401 con riferimento), il criticato accertamento deve risultare chiaramente insostenibile, in evidente contrasto con la fattispecie, fondato su una svista manifesta o contraddire in modo urtante il sentimento di giustizia e di equità ( DTF 132 III 209 consid. 2.1 pag. 211; 129 I 173 consid. 3.1 pag. 178, 8 consid. 2.1 e rinvii).</w:t>
      </w:r>
    </w:p>
    <w:p>
      <w:r>
        <w:rPr>
          <w:b/>
        </w:rPr>
        <w:t>E. 2.2</w:t>
      </w:r>
    </w:p>
    <w:p>
      <w:r>
        <w:t>Nel caso in esame, la pronuncia cantonale è unicamente contestata dalla Sezione ricorrente nella misura in cui si scosta dallo stipendio dell'assicurata preso in considerazione dall'amministrazione stessa ai fini dell'esame dell'onere troppo grave. Trattandosi di una questione di fatto, si pone pertanto il problema di sapere se l'accertamento compiuto dal primo giudice sia manifestamente inesatto o contrario al diritto.</w:t>
      </w:r>
    </w:p>
    <w:p>
      <w:r>
        <w:rPr>
          <w:b/>
        </w:rPr>
        <w:t>E. 2.3</w:t>
      </w:r>
    </w:p>
    <w:p>
      <w:r>
        <w:t>Nello stabilire il reddito mensile dell'assicurata in fr. 4'540.-, il primo giudice si è fondato sulle indicazioni nel questionario concernente la domanda di condono compilato dall'interessata il 23 ottobre 2008. Facendo riferimento a una precedente informazione fornita dall'opponente in merito alla sua situazione salariale, la Sezione ricorrente insiste invece sull'importo di fr. 6'000.-. Sennonché, la dichiarazione invocata nel gravame dell'amministrazione non si trova agli atti. Non vi è pertanto motivo per completare o rettificare d'ufficio ( art. 105 cpv. 2 LTF ) l'accertamento dei fatti posti a fondamento del giudizio impugnato su questo punto. Il Tribunale federale deve quindi statuire sulla base di questi fatti, che non risultano accertati in modo manifestamente inesatto o contrario al diritto. Si osservi d'altronde che la pronuncia cantonale, che obbliga l'amministrazione ricorrente a effettuare un nuovo calcolo volto a determinare in quale misura l'assicurata presenti un grave rigore economico tenendo conto di un reddito di fr. 4'540.-, è subordinata alla condizione che nel frattempo non siano divenuti disponibili dei dati fiscali rilevanti ai fini della vertenza.</w:t>
      </w:r>
    </w:p>
    <w:p>
      <w:r>
        <w:rPr>
          <w:b/>
        </w:rPr>
        <w:t>E. 3</w:t>
      </w:r>
    </w:p>
    <w:p>
      <w:r>
        <w:t>Inammissibile, dal momento che la LTF non conosce l'istituto del ricorso adesivo e che l'opponente non si è aggravata personalmente contro il giudizio impugnato (Ulrich Meyer, in Basler Kommentar, Bundesgerichtsgesetz, 2008, n. 4 all' art. 102 LTF ), è infine la richiesta presentata in via di risposta dall'assicurata di pronunciarsi sull'eccezione di prescrizione/perenzione della pretesa dell'amministrazione. L'interessata può chiedere unicamente la conferma del giudizio cantonale. Qualora le conclusioni dell'opponente andassero interpretate nel senso che è chiesta la riforma del giudizio medesimo in una misura più estesa di quella postulata dall'insorgente, simile conclusione sarebbe irricevibile (v. Bernard Corboz, in Corboz/Wurzburger/Ferrari/Frésard/ Aubry Girardin, Commentaire de la LTF, 2009, n. 31 segg. all' art. 102 LTF ).</w:t>
      </w:r>
    </w:p>
    <w:p>
      <w:r>
        <w:rPr>
          <w:b/>
        </w:rPr>
        <w:t>E. 4</w:t>
      </w:r>
    </w:p>
    <w:p>
      <w:r>
        <w:t>Pur soccombendo, la ricorrente è dispensata dal versamento delle spese giudiziarie ( DTF 133 V 640 ). Per contro la Sezione cantonale del lavoro rifonderà all'assicurata, vincente in lite e patrocinata da un legale, un'indennità per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