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8C_636/2011 vom 9. März 2012</w:t>
      </w:r>
    </w:p>
    <w:p>
      <w:r>
        <w:t>Bundesgericht, 2012-03-09, DE</w:t>
      </w:r>
    </w:p>
    <w:p>
      <w:r>
        <w:rPr>
          <w:b/>
        </w:rPr>
        <w:t xml:space="preserve">Quelle: </w:t>
      </w:r>
      <w:r>
        <w:t>https://mcp.opencaselaw.ch/entscheid/bger_8C_636_2011</w:t>
      </w:r>
    </w:p>
    <w:p>
      <w:r>
        <w:t>FR: TF 8C_636/2011 du 9 mars 2012</w:t>
      </w:r>
    </w:p>
    <w:p>
      <w:r>
        <w:t>IT: TF 8C_636/2011 del 9 marzo 2012</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Verfahren vor Bundesgericht dürfen gemäss Art. 99 Abs. 1 BGG neue Tatsachen und Beweismittel nur soweit vorgebracht werden, als erst der Entscheid der Vorinstanz dazu Anlass gibt ( BGE 135 V 194 ).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Das Vorbringen von Tatsachen oder Beweismitteln, die sich erst nach dem angefochtenen Entscheid ereigneten oder entstanden sind (sog. echte Noven), ist vor Bundesgericht unzulässig (Urteil 8C_502/2010 vom 21. Juli 2010 E. 3). Der letztinstanzlich eingereichten Beschwerde und den nachfolgenden Eingaben liegen ein neues Gutachten des Zentrums A.________ und diverse ärztliche Stellungnahmen bei, welche dem kantonalen Gericht nicht bekannt waren. Die Versicherte macht für die Nachreichung dieser Unterlagen aber keine im Sinne von Art. 99 Abs. 1 BGG relevanten Gründe geltend. Nachdem das kantonale Gericht vorliegend in nicht zu beanstandender Weise keinen Anlass für zusätzliche Abklärungen in medizinischer Hinsicht gesehen hat, kann nicht davon ausgegangen werden, dass erst der Entscheid der Vorinstanz zur Einreichung der neuen Aktenstücke Anlass gegeben hat. Diese Berichte sind mithin nicht zu berücksichtigen.</w:t>
      </w:r>
    </w:p>
    <w:p>
      <w:r>
        <w:rPr>
          <w:b/>
        </w:rPr>
        <w:t>E. 3</w:t>
      </w:r>
    </w:p>
    <w:p>
      <w:r>
        <w:t>Streitig und zu prüfen ist einzig, ob die Basler das Taggeld ab 1. Mai 2009 zu Recht um 50 % gekürzt hat.</w:t>
      </w:r>
    </w:p>
    <w:p>
      <w:r>
        <w:rPr>
          <w:b/>
        </w:rPr>
        <w:t>E. 4</w:t>
      </w:r>
    </w:p>
    <w:p>
      <w:r>
        <w:t>Anspruch auf ein Taggeld der Unfallversicherung haben Versicherte, die infolge eines Unfalles voll oder teilweise arbeitsunfähig sind ( Art. 16 Abs. 1 UVG ). Das Taggeld beträgt bei voller Arbeitsunfähigkeit 80 % des versicherten Verdienstes und wird bei teilweiser Arbeitsunfähigkeit entsprechend gekürzt ( Art. 17 Abs. 1 UVG ). Die Unfallversicherung erbringt die ganze Leistung, wenn die Arbeitsunfähigkeit eines arbeitslosen Versicherten mehr als 50 % beträgt, und die halbe Leistung, wenn die Arbeitsunfähigkeit mehr als 25, aber höchstens 50 % beträgt; bei einer Arbeitsunfähigkeit von 25 % und weniger besteht kein Taggeldanspruch ( Art. 25 Abs. 3 UVV ). Gemäss Art. 36 Abs. 1 UVG wird das Taggeld nicht gekürzt, wenn die Gesundheitsschädigung nur teilweise Folge eines Unfalles ist.</w:t>
      </w:r>
    </w:p>
    <w:p>
      <w:r>
        <w:rPr>
          <w:b/>
        </w:rPr>
        <w:t>E. 5.1</w:t>
      </w:r>
    </w:p>
    <w:p>
      <w:r>
        <w:t>Die Vorinstanz geht in pflichtgemässer Würdigung der medizinischen Akten, insbesondere gestützt auf das Gutachten des Instituts W.________ vom 12. Februar/16. März 2009, davon aus, dass im zuletzt ausgeübten Teilzeitpensum als Küchenhilfe eine 50%ige Arbeitsfähigkeit bestehe. Deshalb habe die Basler das Taggeld ab 1. Mai 2009 zu Recht um 50 % gekürzt.</w:t>
      </w:r>
    </w:p>
    <w:p>
      <w:r>
        <w:rPr>
          <w:b/>
        </w:rPr>
        <w:t>E. 5.2</w:t>
      </w:r>
    </w:p>
    <w:p>
      <w:r>
        <w:t>Die Vorbringen der Beschwerdeführerin vermögen an diesem Ergebnis nichts zu ändern. Soweit sie vor Bundesgericht die bereits im vorinstanzlichen Verfahren entkräfteten Rügen wiederholt, kann auf die zutreffenden Erwägungen im angefochtenen Gerichtsentscheid verwiesen werden. Das kantonale Gericht hat ausführlich aufgezeigt, aus welchen Gründen auf die von den behandelnden Ärzten vorgenommenen Einschätzungen der Arbeitsunfähigkeit nicht abgestellt werden kann. Soweit die Versicherte auf neue Stellungnahmen dieser medizinischen Fachpersonen und die Expertise des Zentrums A.________ vom 12. Juli 2011 verweist, kann darauf nicht weiter eingegangen werden (E. 2 hiervor). Es fällt immerhin auf, dass sowohl im Gutachten des Instituts W.________ als auch im Gutachten des Zentrums A.________ für leidensangepasste Beschäftigungen eine 50 % beträchtlich übersteigende Arbeitsfähigkeit angegeben wird.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ATSG ). Deshalb stellt sich die Frage, ab welchem Zeitpunkt allenfalls von der Beschwerdeführerin erwartet werden konnte, ihre Restarbeitsfähigkeit in einem anderen Tätigkeitsbereich zu verwerten, nachdem das Arbeitsverhältnis mit dem Heim Y.________bereits durch schriftliche Kündigung vom 24. September 2008 per 31. Dezember 2008 aufgelöst worden war. Da das Bundesgericht nicht über die Begehren der Parteien hinausgehen darf ( Art. 107 Abs. 1 BGG ), erübrigen sich allerdings diesbezügliche Weiterungen. Eine 50 % übersteigende Arbeitsunfähigkeit in der teilzeitlichen Beschäftigung als Hilfsköchin kann jedenfalls für die vorliegend relevante Zeit der Taggeldkürzung ab 1. Mai 2009 (bis zum Einspracheentscheid vom 20. Oktober 2009) nicht angenommen werden.</w:t>
      </w:r>
    </w:p>
    <w:p>
      <w:r>
        <w:rPr>
          <w:b/>
        </w:rPr>
        <w:t>E. 6</w:t>
      </w:r>
    </w:p>
    <w:p>
      <w:r>
        <w:t>Da die Beschwerde offensichtlich unbegründet ist, wird sie im Verfahren nach Art. 109 Abs. 2 lit. a BGG , mit summarischer Begründung, erledigt.</w:t>
      </w:r>
    </w:p>
    <w:p>
      <w:r>
        <w:rPr>
          <w:b/>
        </w:rPr>
        <w:t>E. 7</w:t>
      </w:r>
    </w:p>
    <w:p>
      <w:r>
        <w:t>Die Gerichtskosten sind dem Ausgang des Verfahrens entsprechend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