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635/2014 vom 17. August 2015</w:t>
      </w:r>
    </w:p>
    <w:p>
      <w:r>
        <w:t>Bundesgericht, 2015-08-17, DE</w:t>
      </w:r>
    </w:p>
    <w:p>
      <w:r>
        <w:rPr>
          <w:b/>
        </w:rPr>
        <w:t xml:space="preserve">Quelle: </w:t>
      </w:r>
      <w:r>
        <w:t>https://mcp.opencaselaw.ch/entscheid/bger_8C_635_2014</w:t>
      </w:r>
    </w:p>
    <w:p>
      <w:r>
        <w:t>FR: TF 8C 635/2014 du 17 août 2015</w:t>
      </w:r>
    </w:p>
    <w:p>
      <w:r>
        <w:t>IT: TF 8C 635/2014 del 17 agosto 2015</w:t>
      </w:r>
    </w:p>
    <w:p>
      <w:pPr>
        <w:pStyle w:val="Heading2"/>
      </w:pPr>
      <w:r>
        <w:t>Regeste</w:t>
      </w:r>
    </w:p>
    <w:p>
      <w:r>
        <w:t>Invalidenversicherung (Revision)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Nach den unbestrittenen vorinstanzlichen Feststellungen war die von der IV-Stelle vorgenommene Rentenüberprüfung nach den Schlussbestimmungen der Änderung des IVG vom 18. März 2011 (6. IV-Revision, erstes Massnahmenpaket, in Kraft getreten am 1. Januar 2012; AS 2011 5659) unzulässig, da die ursprüngliche Rentenzusprechung am 9. April 2001 nicht wegen eines pathogenetisch-ätiologisch unklaren syndromalen Beschwerdebildes ohne nachweisbare organische Grundlage zugesprochen worden war.</w:t>
      </w:r>
    </w:p>
    <w:p>
      <w:r>
        <w:rPr>
          <w:b/>
        </w:rPr>
        <w:t>E. 3</w:t>
      </w:r>
    </w:p>
    <w:p>
      <w:r>
        <w:t>Das kantonale Gericht hat die hier streitige Verfügung vom 23. August 2013 indessen mit der substituierten Begründung der Wiedererwägung geschützt und die ursprüngliche Rentenverfügung als zweifellos unrichtig erachtet ( BGE 125 V 368 E. 2 S. 369 mit Hinweisen; in BGE 135 I 1 nicht publizierte E. 5.1 des Urteils 9C_342/2008 vom 20. November 2008; vgl. auch BGE 112 V 371 E. 2c S. 373 und 387 E. 1b S. 390). Dagegen richtet sich die Beschwerde. Nach der Rechtsprechung kommt die Praxis zur substituierten Begründung des Rückkommens auf einen laufenden Rentenanspruch durch das Gericht auch im Zusammenhang mit einer fehlgeschlagenen Anwendung der Schlussbestimmung zum Tragen. Die Wiedererwägung, die Revision nach Art. 17 ATSG und die Überprüfung nach der Schlussbestimmung stellen (bloss) verschiedene rechtliche Begründungen für den Streitgegenstand "Abänderung des Rentenanspruchs" dar. Hat der Versicherungsträger die Rente mit einer unzutreffenden Begründung herabgesetzt oder aufgehoben, führt aber die richtige Begründung zum gleichen Ergebnis, so ist die Verfügung zu bestätigen (SVR 2014 IV Nr. 39 S. 137, 9C_121/2014 E. 3.2.2). Dass das kantonale Gericht die zweifellose Unrichtigkeit der ursprünglichen Rentenzusprechung geprüft hat, war deshalb grundsätzlich zulässig. Der Beschwerdeführer macht geltend, dass ihm bei dieser (einzigen) Begründung für die Bestätigung der angefochtenen Verfügung das rechtliche Gehör hätte gewährt werden und das kantonale Gericht vorgängig die Gelegenheit zur Stellungnahme hätte einräumen müssen (vgl. Urteil 8C_1027/2009 vom 17. August 2010 E. 2.2 mit Hinweisen). Indessen hat sich der Beschwerdeführer in der vorinstanzlichen Beschwerde, wenn auch nur kurz, zum allfälligen Rückkommensgrund der Wiedererwägung geäussert, sodass sein rechtliches Gehör nicht verletzt wurde.</w:t>
      </w:r>
    </w:p>
    <w:p>
      <w:r>
        <w:rPr>
          <w:b/>
        </w:rPr>
        <w:t>E. 4</w:t>
      </w:r>
    </w:p>
    <w:p>
      <w:r>
        <w:t>Letztinstanzlich bringt der Beschwerdeführer zu der vom kantonalen Gericht festgestellten zweifellosen Unrichtigkeit der ursprünglichen Rentenzusprechung vor, dass nach den Unterlagen für den Zeitpunkt des Rentenbeginns am 1. Juni 1998 aus somatischen, durch einen Motorradunfall bedingten Gründen eine 50-prozentige Arbeitsunfähigkeit nicht nur in seinem angestammten Beruf als Baumaschinenmechaniker, sondern auch für leichte, dem Schulterleiden angepasste Verweistätigkeiten ausgewiesen sei. Die von ihm angerufenen Berichte des Hausarztes und der Klinik C.________ sowie über die berufliche Abklärung durch die IV-Stelle vermögen die vorinstanzlichen Feststellungen jedoch nicht als offensichtlich unrichtig erscheinen zu lassen. Das kantonale Gericht verweist diesbezüglich auf seinen Entscheid vom 19. Januar 2000 über die Leistungspflicht des Unfallversicherers, wonach dem Versicherten praktisch jede leichte handwerkliche Tätigkeit ganztags zuzumuten sei. Andere Beschwerden als die dort berücksichtigten somatischen Unfallfolgen sind auch hier unbestrittenerweise nicht beachtlich (oben E. 2). Dass eine spätere Schulteroperation (im Juli 2000) zu einer anderen Einschätzung der Arbeitsfähigkeit geführt hätte, ist nach Lage der Akten nicht ersichtlich.</w:t>
      </w:r>
    </w:p>
    <w:p>
      <w:r>
        <w:rPr>
          <w:b/>
        </w:rPr>
        <w:t>E. 5</w:t>
      </w:r>
    </w:p>
    <w:p>
      <w:r>
        <w:t>Das kantonale Gericht hat schliesslich festgestellt, dass für den Zeitpunkt der angefochtenen Verfügung vom 23. August 2013 eine Arbeitsunfähigkeit in einer leidensangepassten Tätigkeit nicht ausgewiesen sei (bei einer Leistungsfähigkeit von 90 Prozent). Dies wird insoweit nicht bestritten und es ist nach zulässiger Wiedererwägung der ursprünglichen Rentenverfügung darauf abzustellen. Zu den erwerblichen Auswirkungen der Gesundheitsschädigung äussert sich der Beschwerdeführer nicht und die vorinstanzlichen Erwägungen dazu geben keinen Anlass zu Weiterungen. Die Rentenaufhebung ist daher von Bundesrechts wegen nicht zu beanstanden.</w:t>
      </w:r>
    </w:p>
    <w:p>
      <w:r>
        <w:rPr>
          <w:b/>
        </w:rPr>
        <w:t>E. 6</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