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634/2020 vom 4. Mai 2021</w:t>
      </w:r>
    </w:p>
    <w:p>
      <w:r>
        <w:t>Bundesgericht, 2021-05-04, DE</w:t>
      </w:r>
    </w:p>
    <w:p>
      <w:r>
        <w:rPr>
          <w:b/>
        </w:rPr>
        <w:t xml:space="preserve">Quelle: </w:t>
      </w:r>
      <w:r>
        <w:t>https://mcp.opencaselaw.ch/entscheid/bger_8C_634_2020</w:t>
      </w:r>
    </w:p>
    <w:p>
      <w:r>
        <w:t>FR: TF 8C 634/2020 du 4 mai 2021</w:t>
      </w:r>
    </w:p>
    <w:p>
      <w:r>
        <w:t>IT: TF 8C 634/2020 del 4 maggio 2021</w:t>
      </w:r>
    </w:p>
    <w:p>
      <w:pPr>
        <w:pStyle w:val="Heading2"/>
      </w:pPr>
      <w:r>
        <w:t>Regeste</w:t>
      </w:r>
    </w:p>
    <w:p>
      <w:r>
        <w:t>Invalidenversicherung (Invalidenrente; berufliche Massnahmen; Neuanmeldung)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Derartige Mängel sind in der Beschwerde aufgrund des strengen Rügeprinzips ( Art. 106 Abs. 2 BGG ) klar und detailliert aufzuzeigen (vgl. zum Ganzen BGE 144 V 50 E. 4.2 mit Hinweisen).</w:t>
      </w:r>
    </w:p>
    <w:p>
      <w:r>
        <w:rPr>
          <w:b/>
        </w:rPr>
        <w:t>E. 1.3</w:t>
      </w:r>
    </w:p>
    <w:p>
      <w:r>
        <w:t>Bei den vorinstanzlichen Feststellungen zum Gesundheitszustand und zur Arbeitsfähigkeit der versicherten Person sowie bei der konkreten Beweiswürdigung handelt es sich grundsätzlich um Entscheidungen über Tatfragen ( BGE 132 V 393 E. 3.2), die das Bundesgericht seiner Urteilsfindung zugrunde zu legen hat.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2</w:t>
      </w:r>
    </w:p>
    <w:p>
      <w:r>
        <w:t>Streitig und zu prüfen ist, ob das kantonale Gericht Bundesrecht verletzte, indem es - in Bestätigung der Verfügung der Beschwerdegegnerin vom 24. Mai 2019 - einen Anspruch des Beschwerdeführers auf Leistungen der Invalidenversicherung (Invalidenrente und berufliche Massnahmen) verneinte.</w:t>
      </w:r>
    </w:p>
    <w:p>
      <w:r>
        <w:rPr>
          <w:b/>
        </w:rPr>
        <w:t>E. 3</w:t>
      </w:r>
    </w:p>
    <w:p>
      <w:r>
        <w:t>Im angefochtenen Entscheid werden die diesbezüglich massgebenden Gesetzesbestimmungen und die von der Rechtsprechung entwickelten Grundsätze zutreffend dargelegt. Darauf wird verwiesen ( Art. 109 Abs. 3 BGG ).</w:t>
      </w:r>
    </w:p>
    <w:p>
      <w:r>
        <w:rPr>
          <w:b/>
        </w:rPr>
        <w:t>E. 4.1</w:t>
      </w:r>
    </w:p>
    <w:p>
      <w:r>
        <w:t>Das kantonale Gericht hat dem medexperts-Gutachten vom 16. Mai 2018 uneingeschränkt Beweiskraft zuerkannt und gestützt darauf festgestellt, dass keine die Arbeitsfähigkeit beeinträchtigenden Diagnosen vorliegen würden. In neuropsychologischer Hinsicht sei der Befund ebenfalls mit demjenigen gemäss Voruntersuchung im Oktober 2013 vergleichbar. Da keine invaliditätsrelevante Diagnose mit Auswirkung auf die Arbeitsfähigkeit erstellt sei, habe die IV-Stelle auf eine Invaliditätsberechnung verzichten können und es bestehe auch kein Anspruch auf berufliche Eingliederungsmassnahmen. Im Ergebnis sei damit im Vergleich zur ersten rechtskräftigen Leistungsablehnung im Februar 2015 keine anspruchsbegründende Änderung in den für den Invaliditätsgrad erheblichen Tatsachen eingetreten, weshalb die Verwaltung das im Rahmen der Neuanmeldung geltend gemachte Leistungsbegehren mit Verfügung vom 25. Mai 2019 zu Recht abgewiesen habe.</w:t>
      </w:r>
    </w:p>
    <w:p>
      <w:r>
        <w:rPr>
          <w:b/>
        </w:rPr>
        <w:t>E. 4.2.1</w:t>
      </w:r>
    </w:p>
    <w:p>
      <w:r>
        <w:t>Der Beschwerdeführer lässt einwenden, die Vorinstanz habe unbesehen auf das nicht schlüssige medexperts-Gutachten abgestellt. Damit liege eine offensichtlich unrichtige und willkürliche Sachverhaltsfeststellung vor. Unklarheit bestehe namentlich, weil die psychiatrische Teilgutachterin Dr. med. B.________, Fachärztin für Psychiatrie und Psychotherapie, eine quantitative Leistungseinschränkung von 10% angebe, obwohl im Gesamtgutachten eine 100%ige Arbeitsfähigkeit für angepasste Verweistätigkeiten attestiert werde. Dazu hat das kantonale Gericht allerdings willkürfrei festgehalten, dass die 10%ige Leistungseinschränkung nicht zu berücksichtigen sei, weil diese nicht auf eine entsprechende Diagnose zurückgeführt werden könne. Auch die psychiatrische Expertin selber sei letztlich von einer 100%igen Arbeitsfähigkeit in einer angepassten Tätigkeit ausgegangen. Das Attest einer 10%igen Leistungsminderung habe sich allenfalls auf die letzte Beschäftigung als Küchenhilfe (Arbeitsversuch, während die langjährige Tätigkeit als Chauffeur als "angestammt" zu qualifizieren sei) oder die von der neuropsychologischen Expertin festgestellte situativ verminderte psychische Belastbarkeit bezogen. So oder anders vermöge diese Unklarheit in den Ausführungen der psychiatrischen Expertin den Beweiswert ihres ansonsten überzeugenden Teilgutachtens nicht zu schmälern.</w:t>
      </w:r>
    </w:p>
    <w:p>
      <w:r>
        <w:rPr>
          <w:b/>
        </w:rPr>
        <w:t>E. 4.2.2</w:t>
      </w:r>
    </w:p>
    <w:p>
      <w:r>
        <w:t>Die weiteren Einwände, wonach den medexperts-Gutachtern die Militärakten nicht zur Verfügung gestanden hätten und die kinder- und schulpsychologische Behandlung, die Alkoholproblematik sowie die berufspraktische Erprobung nicht in ihre Einschätzung eingeflossen sei, sind ebenfalls unbehelflich. Gleiches gilt für das Vorbringen, die psychiatrische Expertin habe die ICD-Kritierien zum Ausschluss einer ängstlich-vermeidenden Persönlichkeitsstörung fehlerhaft verwendet. Die Argumentation des Beschwerdeführers, das kantonale Gericht habe die Arbeitsbiographie offensichtlich falsch festgestellt und gestützt darauf das Fehlen einer Persönlichkeitsstörung begründet, geht ebenfalls fehl. Im angefochtenen Entscheid wird willkürfrei dargelegt, aus welchen Gründen das Gutachten auch bezüglich der darin nicht diagnostizierten Persönlichkeitsstörung nachvollziehbar sei. Mit Blick auf diese Rügen und den weiteren Vorhalt, die Vorinstanz habe unbegründeterweise nicht auf die Beurteilung des behandelnden Psychiaters abstellen wollen, ist ausserdem darauf hinzuweisen, dass den von Versicherungsträgern im Verfahren nach Art. 44 ATSG eingeholten, den praxisgemässen Anforderungen entsprechenden Gutachten externer Spezialärzte Beweiswert zuerkannt werden darf, solange nicht konkrete Indizien gegen die Zuverlässigkeit der Expertise sprechen ( BGE 135 V 465 E. 4.4; Urteil 9C_18/2019 vom 14. Juni 2019 E. 2.2 mit Hinweisen). Solche vermag der Beschwerdeführer nicht aufzuzeigen. Ein Administrativgutachten ist denn auch nicht stets dann in Frage zu stellen und zum Anlass weiterer Abklärungen zu nehmen, wenn behandelnde Ärzte zu einem anderen Ergebnis gelangen; vorbehalten bleiben Fälle, in denen sich eine abweichende Beurteilung aufdrängt, weil sie wichtige Aspekte benennen, die im Rahmen der Begutachtung unerkannt oder ungewürdigt geblieben sind (vgl. statt vieler SVR 2017 IV Nr. 49 S. 148; 9C_119/2020 vom 18. Mai 2010 E. 3.2.3). Inwiefern solche Aspekte aus den medizinischen Akten hervorgehen sollten, ist weder ersichtlich noch in der Beschwerde rechtsgenüglich dargetan.</w:t>
      </w:r>
    </w:p>
    <w:p>
      <w:r>
        <w:rPr>
          <w:b/>
        </w:rPr>
        <w:t>E. 5</w:t>
      </w:r>
    </w:p>
    <w:p>
      <w:r>
        <w:t>Zusammenfassend lassen die Einwendungen des Beschwerdeführers weder die vorinstanzlichen Sachverhaltsfeststellungen als offensichtlich unrichtig, als Ergebnis willkürlicher Beweiswürdigung oder als rechtsfehlerhaft nach Art. 95 BGG erscheinen, noch zeigen sie sonst wie eine Bundesrechtsverletzung auf. Damit durfte das kantonale Gericht schliesslich auch von ergänzenden medizinischen Abklärungen absehen, ohne Bundesrecht zu verletzen (antizipierende Beweiswürdigung; BGE 136 I 229 E. 5.3 ; 134 I 140 E. 5.3; 124 V 90 E. 4b). 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 Auf die Unklarheit des beschwerdeführerischen Rückweisungsantrags (Rückweisung an Vorinstanz und Verwaltung) ist unter diesen Umständen mangels Relevanz nicht weiter einzugehen.</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