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632/2023 vom 18. Oktober 2023</w:t>
      </w:r>
    </w:p>
    <w:p>
      <w:r>
        <w:t>Bundesgericht, 2023-10-18, DE</w:t>
      </w:r>
    </w:p>
    <w:p>
      <w:r>
        <w:rPr>
          <w:b/>
        </w:rPr>
        <w:t xml:space="preserve">Quelle: </w:t>
      </w:r>
      <w:r>
        <w:t>https://mcp.opencaselaw.ch/entscheid/bger_8C_632_2023</w:t>
      </w:r>
    </w:p>
    <w:p>
      <w:r>
        <w:t>FR: TF 8C 632/2023 du 18 octobre 2023</w:t>
      </w:r>
    </w:p>
    <w:p>
      <w:r>
        <w:t>IT: TF 8C 632/2023 del 18 ottobre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23. August 2023 unter Verweis auf die massgeblichen Gesetzesbestimmungen ( Art. 17 Abs. 3 lit. b und Art. 30 Abs. 1 lit. d AVIG in Verbindung mit Art. 30 Abs. 3 AVIG und Art. 45 Abs. 3 AVIV ) einlässlich dar, weshalb die durch das Amt für Wirtschaft und Arbeit des Kantons Zug (AWA) erfolgte Einstellung des Beschwerdeführers in der Anspruchsberechtigung für sechs Tage nicht beanstandet werden könne. In Auseinandersetzung mit den Parteivorbringen und in Würdigung der Akten bestätigte sie namentlich, dass der Beschwerdeführer für das Versäumen des vereinbarten Beratungsgesprächs beim RAV vom 23. Juni 2022 keinen entschuldbaren Grund habe namhaft machen können. Der Beschwerdeführer habe geltend gemacht, dass er den Kontrolltermin vergessen habe, weil er ihn aus unbekanntem Grund schon gar nicht in seinem Kalender notiert habe. Dieses Verhalten zeuge von fehlendem Interesse bzw. von Pflichtvergessenheit und müsse zumindest im Rahmen eines leichten Verschuldens zu einer Einstellung in der Anspruchsberechtigung führen. Es sei weder ersichtlich noch werde vom Beschwerdeführer näher ausgeführt, inwiefern die Einstellung oder die Einstelldauer in Anbetracht der konkreten Umstände des Einzelfalles unverhältnismässig sein sollten.</w:t>
      </w:r>
    </w:p>
    <w:p>
      <w:r>
        <w:rPr>
          <w:b/>
        </w:rPr>
        <w:t>E. 3</w:t>
      </w:r>
    </w:p>
    <w:p>
      <w:r>
        <w:t>In seiner Eingabe ans Bundesgericht befasst sich der Beschwerdeführer nicht rechtsgenüglich mit den für das Ergebnis des angefochtenen Urteils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 Mit seinen Einwänden, namentlich mit seiner Äusserung, Gleichgültigkeit und Desinteresse sowie Pflichtvergessenheit seien bloss Behauptungen und man habe seine persönlichen Verhältnisse (Alter etc.) nicht berücksichtigt, vermag er den Mindestanforderungen an die Beschwerdebegründung jedenfalls keineswegs zu genügen.</w:t>
      </w:r>
    </w:p>
    <w:p>
      <w:r>
        <w:rPr>
          <w:b/>
        </w:rPr>
        <w:t>E. 4</w:t>
      </w:r>
    </w:p>
    <w:p>
      <w:r>
        <w:t>Liegt offensichtlich keine sachbezogen begründete Beschwerde vor, ist im vereinfachten Verfahren nach Art. 108 Abs. 1 lit. b BGG auf das Rechtsmittel nicht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