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8C_632/2015 vom 7. Januar 2016</w:t>
      </w:r>
    </w:p>
    <w:p>
      <w:r>
        <w:t>Bundesgericht, 2016-01-07, DE</w:t>
      </w:r>
    </w:p>
    <w:p>
      <w:r>
        <w:rPr>
          <w:b/>
        </w:rPr>
        <w:t xml:space="preserve">Quelle: </w:t>
      </w:r>
      <w:r>
        <w:t>https://mcp.opencaselaw.ch/entscheid/bger_8C_632_2015</w:t>
      </w:r>
    </w:p>
    <w:p>
      <w:r>
        <w:t>FR: TF 8C_632/2015 du 7 janvier 2016</w:t>
      </w:r>
    </w:p>
    <w:p>
      <w:r>
        <w:t>IT: TF 8C_632/2015 del 7 gennaio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Es steht fest und ist unbestritten, dass der Beschwerdeführer die von der Beschwerdegegnerin zurückverlangten Rentenleistungen in Höhe von Fr. 3'384.- zu Unrecht bezogen und daher im Sinne von Art. 25 Abs. 1 ATSG - vorbehältlich eines Erlasses - grundsätzlich zurückzuerstatten hat. Streitig und zu prüfen ist, ob die Rückerstattungsforderung nach Art. 25 Abs. 2 ATSG verwirkt ist.</w:t>
      </w:r>
    </w:p>
    <w:p>
      <w:r>
        <w:rPr>
          <w:b/>
        </w:rPr>
        <w:t>E. 3</w:t>
      </w:r>
    </w:p>
    <w:p>
      <w:r>
        <w:t>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140 V 521 E. 2.1 mit Hinweisen).</w:t>
      </w:r>
    </w:p>
    <w:p>
      <w:r>
        <w:t>Das kantonale Gericht hat die Rechtsprechung richtig wiedergegeben, wonach mit Bezug auf den Beginn der einjährigen relativen Verwirkungsfrist nicht die tatsächliche, sondern die zumutbare Kenntnis des zur Rückforderung Anlass gebenden Sachverhalts massgebend ist. Fristauslösend ist allerdings - wie die Vorinstanz dargelegt hat - nicht das erstmalige unrichtige Handeln des Durchführungsorgans und die daran anknüpfende unrechtmässige Leistungsausrichtung. Vielmehr ist auf jenen Tag abzustellen, an dem die Verwaltung später - beispielsweise anlässlich einer Rechnungskontrolle oder aufgrund eines zusätzlichen Indizes - bei Beachtung der gebotenen und ihr zumutbaren Aufmerksamkeit sich hinsichtlich ihres Fehlers hätte Rechenschaft geben und erkennen müssen, dass die Voraussetzungen für eine Rückforderung gegeben sind ( BGE 139 V 570 E. 3.1 S. 572; 124 V 380 E. 1 S. 382 f., je mit Hinweisen; Urteil 9C_328/2015 vom 23. September 2015 E. 2 mit Hinweisen).</w:t>
      </w:r>
    </w:p>
    <w:p>
      <w:r>
        <w:rPr>
          <w:b/>
        </w:rPr>
        <w:t>E. 4</w:t>
      </w:r>
    </w:p>
    <w:p>
      <w:r>
        <w:t>Zur Diskussion steht die einjährige, relative Verwirkungsfrist und hiebei namentlich die Frage, wann die IV-Stelle Kenntnis vom Rückforderungsanspruch erhalten hat.</w:t>
      </w:r>
    </w:p>
    <w:p>
      <w:r>
        <w:rPr>
          <w:b/>
        </w:rPr>
        <w:t>E. 4.1</w:t>
      </w:r>
    </w:p>
    <w:p>
      <w:r>
        <w:t>Das kantonale Gericht hat diesbezüglich erwogen, für die IV-Stelle habe erst mit der Mitteilung des BSV vom 14. Juni 2013 ein konkreter Anlass bestanden, weitere Abklärungen zum Zivilstand des Beschwerdeführers zu treffen, die möglicherweise Auswirkungen auf den Rentenanspruch haben könnten. Eine Rückforderung sei damit aber noch nicht festgestanden, hätten doch zunächst der Zivilstand verifiziert und ein Rentensplitting mit Neuberechnung der Rentenhöhe vorgenommen werden müssen. Für diese Abklärungen billigte die Vorinstanz der IV-Stelle bzw. der Ausgleichskasse mindestens drei Monate zu und kam zum Schluss, die sichere Kenntnis von Bestand und Umfang der Rückforderung könne frühestens ab 14. September 2013 angenommen werden, weshalb die einjährige Frist mit der Rückforderungsverfügung vom 9. September 2014 eingehalten worden sei.</w:t>
      </w:r>
    </w:p>
    <w:p>
      <w:r>
        <w:rPr>
          <w:b/>
        </w:rPr>
        <w:t>E. 4.2</w:t>
      </w:r>
    </w:p>
    <w:p>
      <w:r>
        <w:t>Der Beschwerdeführer erhebt keine Rügen, welche zur Bejahung einer Rechtsverletzung führen oder die vorinstanzlichen Sachverhaltsfeststellungen als offensichtlich unrichtig, als Ergebnis willkürlicher Beweiswürdigung oder als rechtsfehlerhaft nach Art. 95 BGG erscheinen lassen (vgl. E. 1 hievor). Soweit er sich - wie bereits vor dem kantonalen Gericht - darauf beruft, er habe der IV-Stelle die Scheidung gemeldet und das Scheidungsurteil nachgereicht, ist die Nichtbeachtung dieser Meldung durch die Verwaltung mit der Vorinstanz als erstmaliges unrichtiges Handeln des Durchführungsorgans und daran anknüpfende unrechtmässige Leistungsausrichtung zu qualifizieren, was - wie dargelegt - nicht fristauslösend ist. Die fehlende Erwähnung der Ehefrau in der Anmeldung zum Leistungsbezug vom 19. Juni 2006, auf welche sich der Beschwerdeführer im Weiteren beruft, bot sodann keinen Anlass, den Zivilstand des Versicherten näher abzuklären, da es um Leistungen im Zusammenhang mit der medizinischen Behandlung eines Kataraktes ging und nicht um den Rentenanspruch, bei welchem sich die Frage des Rentensplittings stellen könnte. Der Standpunkt der Vorinstanz, wonach erst die Mitteilung des BSV der Verwaltung Anlass bot, sich über ihren - von keiner Seite bestrittenen - ursprünglichen Fehler Rechenschaft zu geben und diesbezügliche Abklärungen zu treffen, wozu ihr das kantonale Gericht einen Zeitraum von drei Monaten zugestand, ist nach Gesagtem nicht zu beanstanden. Die Rückerstattungsverfügung vom 9. September 2014 erging daher rechtzeitig, weshalb es beim angefochtenen Entscheid sein Bewenden hat.</w:t>
      </w:r>
    </w:p>
    <w:p>
      <w:r>
        <w:rPr>
          <w:b/>
        </w:rPr>
        <w:t>E. 5</w:t>
      </w:r>
    </w:p>
    <w:p>
      <w:r>
        <w:t>Die offensichtlich unbegründete Beschwerde wird im vereinfachten Verfahren nach Art. 109 Abs. 2 lit. a BGG - mit summarischer Begründung unter Verweis auf den kantonalen Entscheid ( Art. 102 Abs. 1 und Art. 109 Abs. 3 BGG ) - erledigt.</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