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631/2023 vom 16. Oktober 2023</w:t>
      </w:r>
    </w:p>
    <w:p>
      <w:r>
        <w:t>Bundesgericht, 2023-10-16, DE</w:t>
      </w:r>
    </w:p>
    <w:p>
      <w:r>
        <w:rPr>
          <w:b/>
        </w:rPr>
        <w:t xml:space="preserve">Quelle: </w:t>
      </w:r>
      <w:r>
        <w:t>https://mcp.opencaselaw.ch/entscheid/bger_8C_631_2023</w:t>
      </w:r>
    </w:p>
    <w:p>
      <w:r>
        <w:t>FR: TF 8C 631/2023 du 16 octobre 2023</w:t>
      </w:r>
    </w:p>
    <w:p>
      <w:r>
        <w:t>IT: TF 8C 631/2023 del 16 ottobre 2023</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Die Vorinstanz legte im gemäss postamtlicher Bescheinigung dem Beschwerdeführer am 1. September 2023 ausgehändigten Urteil vom 22. August 2023 näher dar, weshalb seitens der Beschwerdegegnerin für die Zeit nach dem 11. Januar 2022 keine weitere Leistungspflicht betreffend die geltend gemachten Schulterbeschwerden rechts bestünden.</w:t>
      </w:r>
    </w:p>
    <w:p>
      <w:r>
        <w:rPr>
          <w:b/>
        </w:rPr>
        <w:t>E. 4</w:t>
      </w:r>
    </w:p>
    <w:p>
      <w:r>
        <w:t>Der Beschwerdeführer zeigt in seiner am letzten Tag der gemäss Art. 44 - 48 und Art. 100 Abs. 1 BGG am 2. Oktober 2023 abgelaufenen Rechtsmittelfrist eingereichten Rechtsschrift nicht hinreichend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Lediglich pauschal den Unfallhergang als von der Vorinstanz nicht korrekt erfasst und die gestützt darauf gemachten Erwägungen zum Wegfall eines Kausalzusammenhangs zwischen dem Unfall und der geltend gemachten Beschwerden als falsch zu beanstanden oder auf die vor dem Unfall uneingeschränkt möglichen Aktivitäten zu verweisen, reicht nicht aus. Insbesondere fehlt es an einer hinreichenden inhaltlichen Auseinandersetzung mit dem von der Vorinstanz dazu Erwogenen. Es genügt nicht, allein zu behaupten, es sei nicht so gewesen, wie von der Vorinstanz erwogen.</w:t>
      </w:r>
    </w:p>
    <w:p>
      <w:r>
        <w:rPr>
          <w:b/>
        </w:rPr>
        <w:t>E. 5</w:t>
      </w:r>
    </w:p>
    <w:p>
      <w:r>
        <w:t>Da dieser Begründungsmangel offensichtlich ist, führt dies zu einem Nichteintreten auf das Rechtsmittel im vereinfachten Verfahren nach Art. 108 Abs. 1 lit. b BGG . Daran vermag der Antrag um Gewährung einer Frist von 30 Tagen zur Ergänzung der Beschwerdeschrift nichts zu ändern (E. 2 hiervor)</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