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8C_62/2015 vom 26. August 2015</w:t>
      </w:r>
    </w:p>
    <w:p>
      <w:r>
        <w:t>Bundesgericht, 2015-08-26, DE</w:t>
      </w:r>
    </w:p>
    <w:p>
      <w:r>
        <w:rPr>
          <w:b/>
        </w:rPr>
        <w:t xml:space="preserve">Quelle: </w:t>
      </w:r>
      <w:r>
        <w:t>https://mcp.opencaselaw.ch/entscheid/bger_8C_62_2015</w:t>
      </w:r>
    </w:p>
    <w:p>
      <w:r>
        <w:t>FR: TF 8C_62/2015 du 26 août 2015</w:t>
      </w:r>
    </w:p>
    <w:p>
      <w:r>
        <w:t>IT: TF 8C_62/2015 del 26 agosto 2015</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Die Beschwerdegegnerin beantragt, auf die Beschwerde sei nicht einzutreten, da diese ungenügend begründet sei.</w:t>
      </w:r>
    </w:p>
    <w:p>
      <w:r>
        <w:t>Gemäss Art. 42 Abs. 1 BGG hat die Beschwerdeschrift die Begehren und deren Begründung zu enthalten; im Rahmen der Begründung ist in gedrängter Form darzulegen, inwiefern der angefochtene Entscheid Recht verletzt, das Grund (Art. 95 f. BGG)einer Beschwerde beim Bundesgericht bilden kann ( Art. 42 Abs. 2 BGG ; BGE 136 I 49 E. 1.4.1 S. 53).</w:t>
      </w:r>
    </w:p>
    <w:p>
      <w:r>
        <w:t>Die hier erhobene Beschwerde genügt diesen Anforderungen, wenn auch nur knapp. Auf sie ist einzutreten, da auch die übrigen Voraussetzungen hiefür erfüllt sind.</w:t>
      </w:r>
    </w:p>
    <w:p>
      <w:r>
        <w:rPr>
          <w:b/>
        </w:rPr>
        <w:t>E. 3</w:t>
      </w:r>
    </w:p>
    <w:p>
      <w:r>
        <w:t>Die Vorinstanz hat die gesetzliche Regelung, wonach die von den Kantonen bestimmten Schiedsgerichte - im Kanton Zürich das Schiedsgericht in Sozialversicherungsstreitigkeiten - über Streitigkeiten zwischen der Versicherung und Leistungserbringern entscheiden ( Art. 27bis Abs. 1 IVG ), zutreffend dargelegt. Die Bestimmungen zur Befugnis des Bundesrates, mit den Durchführenden der IV-Eingliederungsmassnahmen - wie etwa der medizinischen Massnahmen gemäss Art. 13 IVG - Verträge zu schliessen, um die Zusammenarbeit mit den Organen der IV zu regeln und die Tarife festzulegen ( Art. 27 Abs. 1 IVG ), sowie zur Delegation dieser Befugnis an das Bundesamt ( Art. 24 Abs. 2 IVV ) sind ebenfalls richtig wiedergegeben. Gleiches gilt für die Bestimmungen zur Ermächtigung des Bundesrates, soweit kein Vertrag besteht, die Höchstbeträge festzusetzen, bis zu denen den Versicherten die Kosten der Eingliederungsmassnahmen vergütet werden ( Art. 27 Abs. 3 IVG ), und zur gestützt darauf ergangenen Verordnungsregelung. Danach gelten für Personen und Stellen, die Eingliederungsmassnahmen durchführen, ohne einem bestehenden Vertrag beizutreten, die vertraglich festgesetzten Tarife als Höchstansätze im Sinne von Art. 27 Abs. 3 IVG ( Art. 24 Abs. 3 IVV ).</w:t>
      </w:r>
    </w:p>
    <w:p>
      <w:r>
        <w:rPr>
          <w:b/>
        </w:rPr>
        <w:t>E. 4</w:t>
      </w:r>
    </w:p>
    <w:p>
      <w:r>
        <w:t>Gemäss dem angefochtenen Entscheid sind der Tarifvertrag zwischen dem Schweizerischen Berufsverband der Krankenschwestern und Krankenpfleger (SBK) und der Medizinaltarif-Kommission, der Invalidenversicherung und dem Bundesamt für Militärversicherung vom 25. Oktober 1999 (nachfolgend: Tarifvertrag) sowie das IV-Rundschreiben Nr. 308 des BSV vom 27. Februar 2012 zu beachten. Die Beschwerdeführerin sei nicht Mitglied des SBK. Für sie gälten gemäss Art. 27 Abs. 3 IVG in Verbindung mit Art. 24 Abs. 3 IVV die Tarife gemäss Anhang 1 des Tarifvertrags als Höchstbeträge, bis zu denen den versicherten Personen die Kosten der Eingliederungsmassnahmen von der IV vergütet würden. Bis zum Erreichen dieser Höchstbeträge richte sich der Anspruch der versicherten Personen bezüglich Hauspflege- bzw. Kinderspitexleistungen nach dem IV-Rundschreiben Nr. 308, welches insofern eine überzeugende Konkretisierung der rechtlichen Vorgaben darstelle und im Rahmen der rechtsgleichen Gesetzesanwendung zu berücksichtigen sei.</w:t>
      </w:r>
    </w:p>
    <w:p>
      <w:r>
        <w:rPr>
          <w:b/>
        </w:rPr>
        <w:t>E. 5.1</w:t>
      </w:r>
    </w:p>
    <w:p>
      <w:r>
        <w:t>Das Schiedsgericht hat sodann erwogen, die Beschwerdeführerin mache klageweise geltend, beim IV-Tarif für Pflegemassnahmen gemäss Art. 13 IVG handle es sich um einen Vollkostentarif, welcher die für erbrachte Versicherungsleistungen entstandenen tatsächlichen Kosten decken müsse. Sie beantrage eventualiter, die Kosten von Abklärungs- und Beratungsleistungen seien mit einem Tarif von Fr. 122.95 pro Stunde, die Untersuchungs- und Behandlungsleistungen mit einem solchen von Fr. 121.15 und die Grundpflegeleistungen mit einem solchen von Fr. 108.95 pro Stunde zu entschädigen; allenfalls habe die IV einen neuen Vollkostentarif zu erlassen. Gemäss Klagebegründung gehe es der Beschwerdeführerin hiebei nicht um eine Interpretation des massgeblichen Tarifes gemäss Tarifvertrag des SBK mit der Invalidenversicherung vom 25. Oktober 1999. Vielmehr wolle sie eine Änderung der Tarifstruktur erreichen. Dafür sei das Schiedsgericht aber nicht zuständig.</w:t>
      </w:r>
    </w:p>
    <w:p>
      <w:r>
        <w:rPr>
          <w:b/>
        </w:rPr>
        <w:t>E. 5.2</w:t>
      </w:r>
    </w:p>
    <w:p>
      <w:r>
        <w:t>Die Vorinstanz stützt sich hiebei auf die Rechtsprechung des Bundesgerichts. Danach fällt die Prüfung einer Änderung der Tarifstruktur, anders als Fragen der Tarifinterpretation, nicht in die Zuständigkeit der kantonalen Schiedsgerichte (SVR 2012 KV Nr. 2 S. 4, 9C_252/2011 E. 5.5; vgl. auch Urteile 9C_524/2013 vom 21. Januar 2014 E. 4; 9F_3/2013 vom 23. April 2013 E. 2). Diese Präjudizien sind für Belange der Krankenversicherung nach KVG ergangen. Es besteht kein Anlass, für die hier zur Diskussion stehende Tarifierung bezüglich Art. 13 IVG anders zu entscheiden. In der Beschwerde wird auch nichts dergleichen geltend gemacht.</w:t>
      </w:r>
    </w:p>
    <w:p>
      <w:r>
        <w:rPr>
          <w:b/>
        </w:rPr>
        <w:t>E. 5.3</w:t>
      </w:r>
    </w:p>
    <w:p>
      <w:r>
        <w:t>Aus den Anträgen und deren Begründung in der Klage wird offensichtlich, dass die Beschwerdeführerin eine Erhöhung der gemäss Tarif geltenden Höchstansätze im Rahmen einer Vollkostenentschädigung anstrebt. Das wird noch bestätigt durch die Vorbringen in der Beschwerde. Für eine solche Änderung der Tarifstruktur ist die Vorinstanz nach dem Gesagten nicht zuständig, weshalb diese zu Recht auf die Klage nicht eingetreten ist. Was die Beschwerdeführerin vorbringt, rechtfertigt keine andere Betrachtungsweise. Sie beschränkt sich im Wesentlichen darauf, mittels Rügen gegen den Tarif und das IV-Rundschreiben Nr. 308 Gründe für die angestrebten höheren Tarife darzulegen. Der vorinstanzliche Nichteintretensentscheid wird damit nicht in Frage gestellt. Gleiches gilt für die Rüge, das BSV habe die Beschwerdeführerin vor der Klageeinreichung hinsichtlich Zuständigkeit des Schiedsgerichts falsch informiert und so Treu und Glauben verletzt. Damit lässt sich ebenso wenig begründen, die Vorinstanz sei doch zuständig, wie mit den weiteren Aussagen zur Interpretation tariflicher Regelungen durch Vorinstanz und Beschwerdeführerin sowie zu bundesrätlichen Befugnissen. Geltend gemacht wird sodann, es bestehe ein tarifvertragsloser Zustand für Leistungen der Kinderspitex-Organisationen. Es wird aber nicht dargetan, inwiefern die Vorinstanz zur Behebung eines allfälligen solchen Zustandes zuständig sein soll. Auch die Rüge einer Rechtsverweigerung resp. Rechtsverzögerung ist unbegründet. Die Beschwerde ist abzuweisen.</w:t>
      </w:r>
    </w:p>
    <w:p>
      <w:r>
        <w:rPr>
          <w:b/>
        </w:rPr>
        <w:t>E. 6</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