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8C_629/2023 vom 18. Dezember 2023</w:t>
      </w:r>
    </w:p>
    <w:p>
      <w:r>
        <w:t>Bundesgericht, 2023-12-18, FR</w:t>
      </w:r>
    </w:p>
    <w:p>
      <w:r>
        <w:rPr>
          <w:b/>
        </w:rPr>
        <w:t xml:space="preserve">Quelle: </w:t>
      </w:r>
      <w:r>
        <w:t>https://mcp.opencaselaw.ch/entscheid/bger_8C_629_2023</w:t>
      </w:r>
    </w:p>
    <w:p>
      <w:r>
        <w:t>FR: TF 8C_629/2023 du 18 décembre 2023</w:t>
      </w:r>
    </w:p>
    <w:p>
      <w:r>
        <w:t>IT: TF 8C_629/2023 del 18 dicembre 2023</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1.3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1.4</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S'agissant des droits fondamentaux, le recourant doit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(GRÉGORY BOVEY, Commentaire de la LTF, 3</w:t>
      </w:r>
    </w:p>
    <w:p>
      <w:r>
        <w:t>e éd. 2022, n. 35 ad art. 106 LTF et les références).</w:t>
      </w:r>
    </w:p>
    <w:p>
      <w:r>
        <w:rPr>
          <w:b/>
        </w:rPr>
        <w:t>E. 2.1</w:t>
      </w:r>
    </w:p>
    <w:p>
      <w:r>
        <w:t>Les juges cantonaux ont retenu qu'en application du droit cantonal en matière d'aide sociale et de la jurisprudence y relative, l'octroi de prestations du RI était exclu lorsque, comme en l'espèce, une bourse d'études était accordée. En outre, le recourant avait continué à percevoir des revenus accessoires grâce à son activité de masseur, qui lui permettait de compléter dans une certaine mesure les prestations de l'aide sociale. Dès lors qu'il suivait des cours du soir, il disposait de suffisamment de temps pour assumer un emploi parallèlement à sa formation, à tout le moins à temps partiel, ce qui ne l'avait pas empêché de recevoir plusieurs sanctions pour absence de recherches d'emploi et recherches insuffisantes. Compte tenu de la subsidiarité du RI par rapport aux prestations des autres régimes sociaux telles que les indemnités de chômage et les bourses d'études ou d'apprentissage, le recourant ne pouvait pas prétendre au maintien de son RI en complément de sa bourse d'études au motif que celle-ci ne lui assurait pas des conditions minimales d'existence. La juridiction cantonale a encore estimé que le droit au RI ne pouvait pas être maintenu en application du principe de la protection de la bonne foi.</w:t>
      </w:r>
    </w:p>
    <w:p>
      <w:r>
        <w:rPr>
          <w:b/>
        </w:rPr>
        <w:t>E. 2.2</w:t>
      </w:r>
    </w:p>
    <w:p>
      <w:r>
        <w:t>Dans son écriture, le recourant rediscute certains faits, en émettant différents reproches à l'encontre de l'intimé. Il lui fait notamment grief d'avoir fait obstacle à l'approbation de son projet d'études en médecine et de l'avoir contraint à abandonner son activité de masseur. Ce faisant, il s'écarte des faits constatés par l'instance précédente, sans toutefois expliquer en quoi celle-ci aurait versé dans l'arbitraire en établissant les faits. Il se plaint certes de la violation de plusieurs droits fondamentaux, en invoquant principalement les art. 7 (garantie de la dignité humaine) et 8 al. 2 (interdiction de la discrimination) Cst. Ses récriminations à ce propos sont toutefois dirigées contre l'intimé et non contre l'arrêt entrepris. Le recours ne contient au final aucune critique à l'encontre de la motivation des premiers juges, le recourant n'exposant pas, même brièvement, en quoi l'acte attaqué violerait un droit fondamental ou dénoterait une application arbitraire du droit cantonal.</w:t>
      </w:r>
    </w:p>
    <w:p>
      <w:r>
        <w:rPr>
          <w:b/>
        </w:rPr>
        <w:t>E. 2.3</w:t>
      </w:r>
    </w:p>
    <w:p>
      <w:r>
        <w:t>Au vu de ce qui précède, le recours doit être déclaré irrecevable selon la procédure simplifiée de l' art. 108 al. 1 let. b LTF .</w:t>
      </w:r>
    </w:p>
    <w:p>
      <w:r>
        <w:rPr>
          <w:b/>
        </w:rPr>
        <w:t>E. 3</w:t>
      </w:r>
    </w:p>
    <w:p>
      <w:r>
        <w:t>Vu les circonstances, il convient de renoncer à percevoir des frais judiciaires ( art. 66 al. 1, seconde phrase, LTF ). Il s'ensuit que la requête d'assistance judiciaire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