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8C_629/2013 vom 29. Januar 2014</w:t>
      </w:r>
    </w:p>
    <w:p>
      <w:r>
        <w:t>Bundesgericht, 2014-01-29, DE</w:t>
      </w:r>
    </w:p>
    <w:p>
      <w:r>
        <w:rPr>
          <w:b/>
        </w:rPr>
        <w:t xml:space="preserve">Quelle: </w:t>
      </w:r>
      <w:r>
        <w:t>https://mcp.opencaselaw.ch/entscheid/bger_8C_629_2013</w:t>
      </w:r>
    </w:p>
    <w:p>
      <w:r>
        <w:t>FR: TF 8C_629/2013 du 29 janvier 2014</w:t>
      </w:r>
    </w:p>
    <w:p>
      <w:r>
        <w:t>IT: TF 8C_629/2013 del 29 gennaio 2014</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Soweit der kantonale Entscheid vom 23. Mai 2013 Heilbehandlungs- und Taggeldleistungen betrifft, handelt es sich um einen (Teil-) Endentscheid. Bezüglich des Anspruches auf eine Invalidenrente und auf eine Integritätsentschädigung stellt der angefochtene Entscheid demgegenüber einen (Teil-) Zwischenentscheid dar. Da im Entscheid für die Beschwerdeführerin verbindlich festgehalten wurde, dass zwischen dem Unfallereignis vom 29. Dezember 2008 und den geklagten Beschwerden ein natürlicher und adäquater Kausalzusammenhang besteht, wäre die Zürich - könnte sie diesen Entscheid nicht vor Bundesgericht anfechten -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den Versicherer führen (vgl. BGE 133 V 477 E. 5.2 S. 483 ff.). Auf die Beschwerde der Zürich ist somit einzutreten.</w:t>
      </w:r>
    </w:p>
    <w:p>
      <w:r>
        <w:rPr>
          <w:b/>
        </w:rPr>
        <w:t>E. 2</w:t>
      </w:r>
    </w:p>
    <w:p>
      <w:r>
        <w:t>Streitig und zu prüfen ist die Leistungspflicht der Unfallversicherung für die Zeit ab 1. Februar 2009.</w:t>
      </w:r>
    </w:p>
    <w:p>
      <w:r>
        <w:rPr>
          <w:b/>
        </w:rPr>
        <w:t>E. 3</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w:t>
      </w:r>
    </w:p>
    <w:p>
      <w:r>
        <w:rPr>
          <w:b/>
        </w:rPr>
        <w:t>E. 4</w:t>
      </w:r>
    </w:p>
    <w:p>
      <w:r>
        <w:t>Das kantonale Gericht hat in umfassender Würdigung der medizinischen Akten, insbesondere gestützt auf das Gerichtsgutachten des Dr. med. R.________ vom 19. April 2012 (mit Ergänzungen vom 3. Dezember 2012) festgestellt, dass die über den 31. Januar 2009 hinaus geklagten Beschwerden noch auf den organisch nachgewiesen Unfallschaden zurückzuführen sind. Rechtsprechungsgemäss darf ein Gericht bei Vorliegen eines Gerichtsgutachtens "nicht ohne zwingende Gründe" von den Einschätzungen des medizinischen Experten abweichen ( BGE 135 V 465 E. 4.4 S. 469). Solche zwingenden Gründe liegen bezüglich des Gerichtsgutachtens des Dr. med. R.________ nicht vor. Insbesondere entspricht die Beschreibung des Unfallherganges im Gutachten im Wesentlichen dem Polizeirapport; es ist mithin nicht davon auszugehen, dass der Gutachter von einem bedeutend gravierenderen Ereignis ausgegangen wäre, als es tatsächlich stattgefunden hat. Soweit sich die Beschwerdeführerin auf das Urteil 8C_393/2013 vom 18. Juli 2013 E. 4.2 beruft, ist festzuhalten, dass die Krankengeschichte, die jenem Urteil zu Grunde lag, nicht mit jener der versicherten Person im vorliegenden Fall zu vergleichen ist: Die Beschwerdegegnerin 2 musste sich im Unterschied zur versicherten Person in jenem Fall ungefähr zehn Monate nach dem Unfall einem chirurgischen Eingriff am Handgelenk unterziehen. Zur Bejahung des natürlichen Kausalzusammenhanges ist nicht erforderlich, dass der Unfall die unmittelbare Ursache der gesundheitlichen Störung ist (vgl. BGE 129 V 177 E. 3.1 S. 181); vielmehr ist die Kausalität auch dann zu bejahen, wenn der Schaden nur mittelbare Folge des Unfalles ist. Für die Bejahung der Kausalität genügt es demzufolge, dass das CRPS Folge der unfallkausalen Operation ist - die Algodystrophie trat innerhalb kurzer Latenzzeit nach dem Eingriff am Handgelenk auf. Aufgrund der Ausführungen des Dr. med. R.________ bestehen auch keine Zweifel daran, dass der Experte die Diagnose des CRPS für gesichert hält.</w:t>
      </w:r>
    </w:p>
    <w:p>
      <w:r>
        <w:rPr>
          <w:b/>
        </w:rPr>
        <w:t>E. 5</w:t>
      </w:r>
    </w:p>
    <w:p>
      <w:r>
        <w:t>Hat das kantonale Gericht demnach zu Recht auf das Gerichtsgutachten des Dr. med. R.________ abgestellt, so ist weder die Zusprache von Heilbehandlungs- und Taggeldleistungen für die Zeit bis zum       31. Oktober 2010 noch die Rückweisung an die Zürich zur Prüfung einer Integritätsentschädigung und einer Invalidenrente für die Zeit ab 1. November 2010 zu beanstanden. Bezüglich den von der Beschwerdeführerin erwähnten angeblichen Inkonsistenzen bei der Kraftprüfung ist festzuhalten, dass auch Dr. med. R.________ die übermässige Schmerzempfindlichkeit der Versicherten erkannt hat und sich entsprechend bei der Schätzung der Arbeitsunfähigkeit der Versicherten nicht auf ihre Angaben verliess. Die Beschwerde der Zürich ist demnach abzuweisen.</w:t>
      </w:r>
    </w:p>
    <w:p>
      <w:r>
        <w:rPr>
          <w:b/>
        </w:rPr>
        <w:t>E. 6</w:t>
      </w:r>
    </w:p>
    <w:p>
      <w:r>
        <w:t>Das Verfahren ist kostenpflichtig ( Art. 65 BGG ). Als unterliegende Partei hat die Beschwerdeführerin die Gerichtskosten zu tragen ( Art. 66 Abs. 1 BGG ). Da sich zwei Versicherer gegenüberstehen, gilt für die Gerichtsgebühr der ordentliche Rahmen nach Art. 65 Abs. 3 BGG , während Art. 65 Abs. 4 lit. a BGG keine Anwendung findet (Urteile 8C_957/2012 vom 3. April 2013 E. 6). Die Beschwerdeführerin hat der Versicherten überdies eine Parteientschädigung auszurichten ( Art. 68 Abs. 1 und 2 BGG ). Damit wird deren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