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8C_629/2012 vom 20. Februar 2013</w:t>
      </w:r>
    </w:p>
    <w:p>
      <w:r>
        <w:t>Bundesgericht, 2013-02-20, DE</w:t>
      </w:r>
    </w:p>
    <w:p>
      <w:r>
        <w:rPr>
          <w:b/>
        </w:rPr>
        <w:t xml:space="preserve">Quelle: </w:t>
      </w:r>
      <w:r>
        <w:t>https://mcp.opencaselaw.ch/entscheid/bger_8C_629_2012</w:t>
      </w:r>
    </w:p>
    <w:p>
      <w:r>
        <w:t>FR: TF 8C_629/2012 du 20 février 2013</w:t>
      </w:r>
    </w:p>
    <w:p>
      <w:r>
        <w:t>IT: TF 8C_629/2012 del 20 febbraio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zu Recht ihre Leistungen per 31. Juli 2008 eingestellt hat.</w:t>
      </w:r>
    </w:p>
    <w:p>
      <w:r>
        <w:rPr>
          <w:b/>
        </w:rPr>
        <w:t>E. 3.1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3.2</w:t>
      </w:r>
    </w:p>
    <w:p>
      <w:r>
        <w:t>Zu ergänzen ist, dass das Bundesgericht mit Urteil vom 19. Februar 2008 ( BGE 134 V 109 ) die sog. Schleudertrauma-Praxis bei organisch nicht objektiv ausgewiesenen Beschwerden präzisiert hat.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besonders dramatische Begleitumstände oder besondere Eindrück- 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 schlimmert;</w:t>
      </w:r>
    </w:p>
    <w:p>
      <w:r>
        <w:t>schwieriger Heilungsverlauf und erhebliche Komplikationen;</w:t>
      </w:r>
    </w:p>
    <w:p>
      <w:r>
        <w:t>erhebliche Arbeitsunfähigkeit trotz ausgewiesener Anstrengungen.</w:t>
      </w:r>
    </w:p>
    <w:p>
      <w:r>
        <w:rPr>
          <w:b/>
        </w:rPr>
        <w:t>E. 3.3</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4.1</w:t>
      </w:r>
    </w:p>
    <w:p>
      <w:r>
        <w:t>Die Beschwerdeführerin bringt zunächst unter Verweis auf das Gutachten des Zentrums Y.________ vom 17. Mai 2011 vor, der Fallabschluss und damit die Adäquanzprüfung auf den 31. Juli 2008 hin sei zu früh erfolgt, da von der Fortsetzung der ärztlichen Behandlung über dieses Datum hinaus noch eine namhafte Besserung des Gesundheitszustandes zu erwarten gewesen war. Dieser Ansicht kann indessen nicht gefolgt werden. Auch die Experten des Zentrums Y.________ gehen in ihrem Gutachten davon aus, dass die von ihnen festgestellte Arbeitsunfähigkeit seit dem Jahre 2007 gelte und der Gesundheitszustand seither stabil ist. Somit ist der Fallabschluss per 31. Juli 2008 nicht zu beanstanden.</w:t>
      </w:r>
    </w:p>
    <w:p>
      <w:r>
        <w:rPr>
          <w:b/>
        </w:rPr>
        <w:t>E. 4.2</w:t>
      </w:r>
    </w:p>
    <w:p>
      <w:r>
        <w:t>Es steht fest und ist unbestritten, dass die Beschwerdeführerin nicht an im Sinne der Rechtsprechung organisch hinreichend nachgewiesenen Unfallfolgen leidet. Somit ist die Adäquanz eines allfälligen Kausalzusammenhanges zwischen dem Unfallereignis und diesen Beschwerden speziell zu prüfen. Die Vorinstanz hat erwogen, die Adäquanz des Kausalzusammenhanges zwischen dem Unfallereignis und den anhaltend geklagten Beschwerden sei nach den Kriterien, die von der Rechtsprechung für psychische Unfallfolgeschäden entwickelt wurden ( BGE 115 V 133 ), zu prüfen. Die Beschwerdeführerin macht dagegen geltend, die spezielle Prüfung der Adäquanz habe nach den Kriterien der sog. Schleudertrauma-Praxis ( BGE 134 V 109 ; vgl. E. 2.2 hievor) zu erfolgen. Welche der beiden Rechtsprechungen anwendbar ist, kann indessen offenbleiben, da - wie nachstehende Erwägungen zeigen - die Adäquanz eines Kausalzusammenhanges selbst dann zu verneinen wäre, wenn man sie nach der für die Beschwerdeführerin günstigeren Schleudertrauma-Praxis prüft.</w:t>
      </w:r>
    </w:p>
    <w:p>
      <w:r>
        <w:rPr>
          <w:b/>
        </w:rPr>
        <w:t>E. 5.1</w:t>
      </w:r>
    </w:p>
    <w:p>
      <w:r>
        <w:t>Die Schwere des Unfalles ist auf Grund des augenfälligen Geschehensablaufs mit den sich dabei entwickelnden Kräften zu beurteilen (SVR 2008 UV Nr. 8 S. 26, U 2/07 E. 3.1). Dabei werden einfache Auffahrkollisionen auf ein haltendes Fahrzeug in der Regel als mittelschwerer Unfall im Grenzbereich zu den leichten Unfällen betrachtet (RKUV 2005 Nr. U 549 S. 236, U 380/04 E. 5.1.2). Die Vorinstanz wertete das Unfallereignis vom 5. Oktober 2006 als im engeren Sinne mittelschwer. Selbst wenn man mit der Beschwerdeführerin von einer kollisionsbedingten Geschwindigkeitsänderung (?v) zwischen 22 und 29 km/h ausgeht, rechtfertigt es sich nicht, das Ereignis als mittelschwer im Grenzbereich zu den schweren Unfällen zu qualifizieren. Eine solche Qualifikation käme erst bei höheren einwirkenden Kräften in Frage (vgl. etwa Urteile 8C_633/2007 vom 7. Mai 2008 E. 6.2.2 und 8C_129/2009 vom 15. September 2009 E. 5.2). Die Adäquanz eines Kausalzusammenhanges wäre somit nur dann zu bejahen, wenn eines der relevanten Adäquanzkriterien in besonders ausgeprägter oder mehrere dieser Kriterien in gehäufter Weise erfüllt wären.</w:t>
      </w:r>
    </w:p>
    <w:p>
      <w:r>
        <w:rPr>
          <w:b/>
        </w:rPr>
        <w:t>E. 5.2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weiteren Hinweisen). Vor diesem Hintergrund erfüllt das Geschehen vom 5. Oktober 2006 das Kriterium nicht (vgl. auch Urteil 8C_624/2008 vom 12. Dezember 2008 E. 4.3.1).</w:t>
      </w:r>
    </w:p>
    <w:p>
      <w:r>
        <w:rPr>
          <w:b/>
        </w:rPr>
        <w:t>E. 5.3</w:t>
      </w:r>
    </w:p>
    <w:p>
      <w:r>
        <w:t>Das Bundesgericht hat im Urteil BGE 134 V 109 , E. 10.2.2 S. 127 f. seine Rechtsprechung bestätigt, wonach die Diagnose einer Distorsion der Halswirbelsäule (HWS)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Dabei ist allerdings in der Regel vorausgesetzt, dass die versicherte Person aufgrund der Vorschädigung unmittelbar vor dem Unfall mindestens teilweise arbeitsunfähig war (Urteile 8C_759/2007 vom 14. August 2008 E. 5.3 und 8C_544/2012 vom 5. Dezember 2012 E. 5.4).</w:t>
      </w:r>
    </w:p>
    <w:p>
      <w:r>
        <w:t>Es trifft zu, dass die Versicherte bereits vor dem Unfall vom 5. Oktober 2006, am 21. Dezember 2003, eine HWS-Distorsion erlitten hat. Gemäss den Angaben des Dr. med. H.________ in seinem Bericht vom 18. Oktober 2006 war die Beschwerdeführerin indessen unmittelbar vor dem zweiten Unfall wieder 100 % arbeitsfähig. Somit ist nicht davon auszugehen, dass sie am 21. Dezember 2003 eine solch massive Vorschädigung der HWS erlitten hat, dass deswegen das Kriterium bezüglich des Ereignisses vom 5. Oktober 2006 als erfüllt zu gelten hätte.</w:t>
      </w:r>
    </w:p>
    <w:p>
      <w:r>
        <w:rPr>
          <w:b/>
        </w:rPr>
        <w:t>E. 5.4</w:t>
      </w:r>
    </w:p>
    <w:p>
      <w:r>
        <w:t>Direkt nach dem Unfall war die Versicherte bis zum 11. Oktober 2006 im Kantonsspital Z.________ hospitalisiert, vom 21. November bis zum 24. Dezember 2006 weilte sie stationär in der RehaClinic W.________. Entgegen den Vorbringen in der Beschwerde sind im massgeblichen Zeitraum zwischen dem Unfallereignis vom 5. Oktober 2006 und dem Fallabschluss am 31. Juli 2008 keine weiteren stationären Hospitalisierungen aktenkundig. Die sonstigen durchgeführten Therapiemassnahmen waren für die Beschwerdeführerin nicht überdurchschnittlich belastend im Sinne der Rechtsprechung; praxisgemäss werden an das Kriterium der fortgesetzt spezifischen, belastenden ärztlichen Behandlung deutlich höhere Anforderungen gestellt (vgl. Urteil 8C_910/2009 vom 13. Januar 2010 E. 4.4). Das Kriterium ist somit zu verneinen.</w:t>
      </w:r>
    </w:p>
    <w:p>
      <w:r>
        <w:rPr>
          <w:b/>
        </w:rPr>
        <w:t>E. 5.5</w:t>
      </w:r>
    </w:p>
    <w:p>
      <w:r>
        <w:t>Die Beschwerdeführerin bringt nichts vor, was auf eine ärztliche Fehlbehandlung im Sinne des einschlägigen Kriteriums schliessen liesse. Insbesondere kann nicht gesagt werden, die behandelnden Ärzte oder die beteiligten Versicherungen hätten das Leiden der Versicherten nicht ernst genommen. Somit ist auch dieses Kriterium zu verneinen.</w:t>
      </w:r>
    </w:p>
    <w:p>
      <w:r>
        <w:rPr>
          <w:b/>
        </w:rPr>
        <w:t>E. 5.6</w:t>
      </w:r>
    </w:p>
    <w:p>
      <w:r>
        <w:t>Zur Bejahung des Kriteriums des schwierigen Heilungsverlaufs und der erheblichen Komplikationen bedarf es besonderer Gründe, die die Heilung beeinträchtigt haben (Urteil 8C_825/2008 vom 9. April 2009 E. 4.8). Solche sind vorliegend nicht ersichtlich; das Kriterium ist zu verneinen.</w:t>
      </w:r>
    </w:p>
    <w:p>
      <w:r>
        <w:rPr>
          <w:b/>
        </w:rPr>
        <w:t>E. 5.7</w:t>
      </w:r>
    </w:p>
    <w:p>
      <w:r>
        <w:t>Was die beiden Kriterien der erheblichen Beschwerden und der erheblichen Arbeitsunfähigkeit trotz ausgewiesener Anstrengungen betrifft, gilt festzustellen, dass selbst wenn diese bejaht werden könnten, sie jedenfalls nicht in ausgeprägter Weise gegeben wären.</w:t>
      </w:r>
    </w:p>
    <w:p>
      <w:r>
        <w:rPr>
          <w:b/>
        </w:rPr>
        <w:t>E. 5.8</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5. Oktober 2006 und den geklagten, im Sinne der Rechtsprechung organisch nicht hinreichend nachweisbaren Beschwerden zu verneinen. Somit haben Vorinstanz und Beschwerdegegnerin zu Recht eine Leistungspflicht für diese Beschwerden verneint; die Beschwerde der Versicherten ist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