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8C_626/2018 vom 29. Januar 2019</w:t>
      </w:r>
    </w:p>
    <w:p>
      <w:r>
        <w:t>Bundesgericht, 2019-01-29, DE</w:t>
      </w:r>
    </w:p>
    <w:p>
      <w:r>
        <w:rPr>
          <w:b/>
        </w:rPr>
        <w:t xml:space="preserve">Quelle: </w:t>
      </w:r>
      <w:r>
        <w:t>https://mcp.opencaselaw.ch/entscheid/bger_8C_626_2018</w:t>
      </w:r>
    </w:p>
    <w:p>
      <w:r>
        <w:t>FR: TF 8C_626/2018 du 29 janvier 2019</w:t>
      </w:r>
    </w:p>
    <w:p>
      <w:r>
        <w:t>IT: TF 8C_626/2018 del 29 gennaio 2019</w:t>
      </w:r>
    </w:p>
    <w:p>
      <w:pPr>
        <w:pStyle w:val="Heading2"/>
      </w:pPr>
      <w:r>
        <w:t>Erwägungen</w:t>
      </w:r>
    </w:p>
    <w:p>
      <w:r>
        <w:rPr>
          <w:b/>
        </w:rPr>
        <w:t>E. 1.1</w:t>
      </w:r>
    </w:p>
    <w:p>
      <w:r>
        <w:t>Die Beschwerde an das Bundesgericht ist zulässig gegen Endentscheide, das heisst gegen Entscheide, die das Verfahren abschliessen ( Art. 90 BGG ), und gegen Teilentscheide, die nur einen Teil der gestellten Begehren behandeln, wenn diese unabhängig von den anderen beurteilt werden können, oder die das Verfahren nur für einen Teil der Streitgenossen und Streitgenossinnen abschliessen ( Art. 91 BGG ). Gegen selbständig eröffnete Vor- und Zwischenentscheide ist hingegen die Beschwerde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 BGE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1.2</w:t>
      </w:r>
    </w:p>
    <w:p>
      <w:r>
        <w:t>Die Vorinstanz hiess das Rechtsmittel des Beschwerdeführers teilweise gut, indem es die Sache in Zusammenhang mit dem Arbeitszeugnis an die KGV zurückwies, hingegen die Kündigung schützte. Demnach liegt bezüglich des Arbeitszeugnisses ein Rückweisungsentscheid und damit ein Zwischenentscheid im Sinne von Art. 93 BGG vor. Der Beschwerdeführer legt nicht dar, inwiefern die demnach erforderlichen Voraussetzungen nach Art. 93 Abs. 1 BGG erfüllt sein sollten. Auf seine Beschwerde ist deshalb nur in Zusammenhang mit der Kündigung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2.3</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3</w:t>
      </w:r>
    </w:p>
    <w:p>
      <w:r>
        <w:t>Streitig ist, ob die Vorinstanz die Kündigung zu Recht geschützt hat.</w:t>
      </w:r>
    </w:p>
    <w:p>
      <w:r>
        <w:rPr>
          <w:b/>
        </w:rPr>
        <w:t>E. 4</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136 V 117 E. 4.2.2.2 S. 126 ; 133 I 201 E. 2.2 S. 204).</w:t>
      </w:r>
    </w:p>
    <w:p>
      <w:r>
        <w:rPr>
          <w:b/>
        </w:rPr>
        <w:t>E. 5</w:t>
      </w:r>
    </w:p>
    <w:p>
      <w:r>
        <w:t>Der Beschwerdeführer rügt, die Vorinstanz habe seinen Anspruch auf rechtliches Gehör ( Art. 29 Abs. 2 BV ) verletzt, indem sie mit ihrer Formulierung aufzeige, dass sie Zweifel am eigenen Entscheid habe, und sich in der Folge bemüht habe, die offensichtlichen Mängel des Entscheids des Staatsrates zu beheben. Weiter bestreitet er die Sachverhaltsfeststellungen des Kantonsgerichts und macht geltend, er könne diese wegen der Verletzung seines rechtlichen Gehörs nicht mehr anfechten. Der materiellen Begründung könne nicht gefolgt werden. Auch wenn bei der Kündigung in der Probezeit weniger strenge Anforderungen gelten würden, seien seine Argumente zu hören und zu prüfen. Der Staatsrat habe kein Beweisverfahren durchgeführt und sei nicht auf die vorgebrachten Einwände eingegangen. Ein solcher Entscheid könne nicht sachgerecht angefochten werden, da die Überlegungen der Rechtsmittelinstanz nicht bekannt seien. Weiter sei die Vorinstanz nicht berechtigt, den formellen Mangel der Verletzung des rechtlichen Gehörs zu beheben. Der Vorinstanz komme nur eine beschränkte Kognition zu, da sie die Unangemessenheit nicht überprüfen könne. Der Staatsrat sei daher die einzige Instanz mit voller Kognition, weshalb sich dieser mit seinen Argumenten auseinandersetzen müsse. Verletze der Staatsrat das rechtliche Gehör, könne dies von der Vorinstanz nicht geheilt werden. Das Kantonsgericht habe sich darüber hinweggesetzt und eine materielle Prüfung vorgenommen. Die lange Verfahrensdauer spreche nicht für eine Heilung des Mangels, weil er (der Beschwerdeführer) diese nicht zu vertreten habe. Da vorliegend in erster Linie der Sachverhalt und nicht die rechtliche Würdigung umstritten sei, komme eine Heilung nicht in Frage.</w:t>
      </w:r>
    </w:p>
    <w:p>
      <w:r>
        <w:t>Weiter rügt er eine Verletzung von Art. 29 Abs. 2 BV durch die antizipierte Beweiswürdigung. Der Staatsrat habe sich zu seinen Anträgen auf Zeugeneinvernahmen nicht geäussert und die Vorinstanz habe im Rahmen der antizipierten Beweiswürdigung auf die Abnahme der Beweise verzichtet. Im Arbeitsrechts stünden die Sachverhaltsfeststellungen im Vordergrund. Er sei darauf angewiesen, dass die Gerichte ein angemessenes Beweisverfahren durchführen und sich nicht nur auf die Angaben des Arbeitgebers abstützen würden. Es könne entgegen der Vorinstanz nicht festgehalten werden, das Beweisverfahren hätte ohnehin zu keinem anderen Ergebnis geführt, ohne in Willkür zu verfallen. Es sei stossend, wenn sich die Vorinstanz auf das Protokoll einer Sitzung berufe, an welcher der Beschwerdeführer gar nicht teilgenommen und dessen Protokoll der Arbeitgeber verfasst habe.</w:t>
      </w:r>
    </w:p>
    <w:p>
      <w:r>
        <w:rPr>
          <w:b/>
        </w:rPr>
        <w:t>E. 6.1</w:t>
      </w:r>
    </w:p>
    <w:p>
      <w:r>
        <w:t>Soweit sich der Beschwerdeführer mit seinen Rügen direkt auf den Entscheid des Staatsrats vom 13. Juni 2017 bezieht, ist darauf nicht einzugehen. Denn Anfechtungsobjekt ist der vorinstanzliche Entscheid.</w:t>
      </w:r>
    </w:p>
    <w:p>
      <w:r>
        <w:rPr>
          <w:b/>
        </w:rPr>
        <w:t>E. 6.2</w:t>
      </w:r>
    </w:p>
    <w:p>
      <w:r>
        <w:t>Nach konstanter Rechtsprechung braucht sich eine Behörde nicht mit allen von der Partei vorgebrachten Einwänden auseinanderzusetzen, sondern es reicht, wenn sie die Punkte nennt, die für ihren Entscheid wesentlich waren ( BGE 142 II 49 E. 9.2 S. 65 ; 136 I 184 E. 2.2.1 S. 188, 229 E. 5.2 S. 236). Die Beurteilung der gerügten Verletzung des rechtlichen Gehörs (vorinstanzliche E. 2.1.2) entspricht diesen Anforderungen und ist nicht unhaltbar, sondern bundesrechtskonform. Die Vorinstanz war mangels Verletzung des rechtlichen Gehörs somit nicht gehalten, die Sache zu neuer Beurteilung an den Staatsrat zurückzuweisen. Demzufolge sind auch die Einwände des Beschwerdeführers bezüglich der unzulässigen Heilung des Mangels resp. der Umgehung des Problems mittels einer unzulässigen Verneinung der Verletzung des rechtlichen Gehörs unbehelflich. Ebenso wenig gibt der Umstand, dass die Vorinstanz die Streitsache materiell geprüft hat, Anlass zu Bemerkungen.</w:t>
      </w:r>
    </w:p>
    <w:p>
      <w:r>
        <w:rPr>
          <w:b/>
        </w:rPr>
        <w:t>E. 6.3</w:t>
      </w:r>
    </w:p>
    <w:p>
      <w:r>
        <w:t>In Zusammenhang mit der beantragten Zeugenbefragungen legt die Vorinstanz in ihrer E. 2.2.5 dar, weshalb sie auf die Abnahme der angebotenen Beweise verzichtete und auch der Staatsrat darauf verzichten durfte. Diese Begründung ist nachvollziehbar und bundesrechtskonform. Denn bei einer Kündigung während der Probezeit genügt die Unmöglichkeit, ein für die Erfüllung der übertragenen Aufgaben notwendiges Vertrauensverhältnis aufzubauen, als sachlicher Kündigungsgrund (vgl. die Urteile 8C_310/2017 vom 14. Mai 2018 E. 6.3, 8C_467/2013 vom 21. November 2013 E. 3.2 und 8C_649/2012 vom 14. Dezember 2012 E. 8.2, je mit Hinweisen); dieser muss nicht strikte nachgewiesen werden, sondern es reicht, wenn er auf Grund der Wahrnehmungen der Vorgesetzten als hinreichend begründet erscheint (Urteil 8C_467/2013 vom 21. November 2013 E. 4 mit Hinweis). Aus den vorliegenden Akten ergeben sich von den Vorgesetzten wahrgenommene und von mehreren Mitarbeitern bestätigte Probleme beim Aufbau eines Vertrauensverhältnisses infolge erschwerter Kommunikation, was denn auch vom Beschwerdeführer nicht grundsätzlich in Abrede gestellt wird. Es braucht somit für die Zulässigkeit der Kündigung nicht geprüft zu werden, ob resp. inwiefern den Beschwerdeführer ein Verschulden an diesen Unstimmigkeiten trifft. Damit kann der Vorinstanz keine willkürliche bzw. offensichtlich unhaltbare Anwendung der grundsätzlich zulässigen antizipierten Beweiswürdigung ( BGE 137 I 195 E. 2.3.2 S. 197; 136 V 117 E. 4.2.2.2 S. 126 ; 133 I 201 E. 2.2 S. 204) zur Last gelegt werden.</w:t>
      </w:r>
    </w:p>
    <w:p>
      <w:r>
        <w:rPr>
          <w:b/>
        </w:rPr>
        <w:t>E. 6.4</w:t>
      </w:r>
    </w:p>
    <w:p>
      <w:r>
        <w:t>Auch die weiteren Vorbringen des Beschwerdeführers vermögen keine Bundesrechtswidrigkeit aufzuzeigen. Soweit er geltend macht, er könne die vorinstanzlichen Sachverhaltsfeststellungen nicht mehr anfechten, ist dies unzutreffend. Art. 105 Abs. 2 BGG beschränkt die Verbindlichkeit des vorinstanzlich festgestellten Sachverhalts auf Fälle, wo keine willkürlichen oder in Verletzung von Art. 95 BGG ergangenen Feststellungen vorliegen. Wäre der Sachverhalt durch das Kantonsgericht in Verletzung des rechtlichen Gehörs und damit im Rahmen einer Rechtsverletzung nach Art. 95 BGG ermittelt worden, wäre dieser für das Bundesgericht nicht verbindlich. Angesichts der vor Kantonsgericht erhobenen Rügen ist auch nicht ersichtlich, inwiefern es ihm unmöglich gewesen sein soll, die Sachverhaltsfeststellungen infolge der angeblichen Verletzung des rechtlichen Gehörs zu rügen resp. den Entscheid des Staatsrats angemessen anzufechten. Der Beschwerdeführer legt im Übrigen keine willkürliche Anwendung des kantonalen Rechts im Rahmen der materiellen Beurteilung dar, so dass es beim kantonalen Entscheid sein Bewenden hat.</w:t>
      </w:r>
    </w:p>
    <w:p>
      <w:r>
        <w:rPr>
          <w:b/>
        </w:rPr>
        <w:t>E. 7</w:t>
      </w:r>
    </w:p>
    <w:p>
      <w:r>
        <w:t>Das Verfahren ist kostenpflichtig. Der unterliegende Beschwerdeführer hat die Gerichtskosten zu tragen ( Art. 66 Abs. 1 BGG ). Die KGV hat keinen Anspruch auf eine Parteientschädigung, da sie in ihrem amtlichen Wirkungskreis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