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8C_622/2022 vom 2. Dezember 2022</w:t>
      </w:r>
    </w:p>
    <w:p>
      <w:r>
        <w:t>Bundesgericht, 2022-12-02, FR</w:t>
      </w:r>
    </w:p>
    <w:p>
      <w:r>
        <w:rPr>
          <w:b/>
        </w:rPr>
        <w:t xml:space="preserve">Quelle: </w:t>
      </w:r>
      <w:r>
        <w:t>https://mcp.opencaselaw.ch/entscheid/bger_8C_622_2022</w:t>
      </w:r>
    </w:p>
    <w:p>
      <w:r>
        <w:t>FR: TF 8C_622/2022 du 2 décembre 2022</w:t>
      </w:r>
    </w:p>
    <w:p>
      <w:r>
        <w:t>IT: TF 8C_622/2022 del 2 dicembre 2022</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146 IV 297 consid. 1.2; 142 I 99 consid. 1.7.1).</w:t>
      </w:r>
    </w:p>
    <w:p>
      <w:r>
        <w:rPr>
          <w:b/>
        </w:rPr>
        <w:t>E. 3</w:t>
      </w:r>
    </w:p>
    <w:p>
      <w:r>
        <w:t>Dans l'arrêt attaqué, les juges cantonaux ont examiné la question de la stabilisation de l'état de santé du recourant et de sa capacité résiduelle de travail, avant de vérifier si le calcul du taux d'invalidité fixé par l'intimée était conforme au droit. Ils ont ensuite examiné l'étendue de l'indemnité pour atteinte à l'intégrité à laquelle pouvait prétendre le recourant.</w:t>
      </w:r>
    </w:p>
    <w:p>
      <w:r>
        <w:rPr>
          <w:b/>
        </w:rPr>
        <w:t>E. 4</w:t>
      </w:r>
    </w:p>
    <w:p>
      <w:r>
        <w:t>Dans son écriture du 24 octobre 2022, le recourant se limite à présenter sa propre version des faits tout en évoquant diverses problématiques de prise en charge et d'appréciation médicales. Ce faisant, il ne fournit aucune argumentation topique dirigée contre la motivation retenue par la cour cantonale. On ne peut dès lors pas saisir en quoi les constatations de cette autorité seraient inexactes, ni en quoi l'acte attaqué serait contraire au droit.</w:t>
      </w:r>
    </w:p>
    <w:p>
      <w:r>
        <w:rPr>
          <w:b/>
        </w:rPr>
        <w:t>E. 5</w:t>
      </w:r>
    </w:p>
    <w:p>
      <w:r>
        <w:t>Partant, le recours ne répond pas aux exigences de l' art. 42 al. 1 et 2 LTF et doit être déclaré irrecevable selon la procédure simplifiée de l' art. 108 al. 1 let. b LTF .</w:t>
      </w:r>
    </w:p>
    <w:p>
      <w:r>
        <w:rPr>
          <w:b/>
        </w:rPr>
        <w:t>E. 6</w:t>
      </w:r>
    </w:p>
    <w:p>
      <w:r>
        <w:t>Au vu des circonstances, il convient de renoncer à la perception de frais judiciaires (art. 66 al. 1, 2</w:t>
      </w:r>
    </w:p>
    <w:p>
      <w:r>
        <w:t>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