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622/2020 vom 17. Dezember 2020</w:t>
      </w:r>
    </w:p>
    <w:p>
      <w:r>
        <w:t>Bundesgericht, 2020-12-17, DE</w:t>
      </w:r>
    </w:p>
    <w:p>
      <w:r>
        <w:rPr>
          <w:b/>
        </w:rPr>
        <w:t xml:space="preserve">Quelle: </w:t>
      </w:r>
      <w:r>
        <w:t>https://mcp.opencaselaw.ch/entscheid/bger_8C_622_2020</w:t>
      </w:r>
    </w:p>
    <w:p>
      <w:r>
        <w:t>FR: TF 8C 622/2020 du 17 décembre 2020</w:t>
      </w:r>
    </w:p>
    <w:p>
      <w:r>
        <w:t>IT: TF 8C 622/2020 del 17 dicembre 2020</w:t>
      </w:r>
    </w:p>
    <w:p>
      <w:pPr>
        <w:pStyle w:val="Heading2"/>
      </w:pPr>
      <w:r>
        <w:t>Regeste</w:t>
      </w:r>
    </w:p>
    <w:p>
      <w:r>
        <w:t>Arbeitslosenversicherung | Arbeitslosenversicherung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(vgl. BGE 144 V 50 E. 4.2 S. 53 mit Hinweisen; Urteil 8C_24/2020 vom 19. Februar 2020 E. 1.2 mit Hinweis). Solche Mängel sind in der Beschwerde aufgrund des strengen Rügeprinzips klar und detailliert aufzuzeigen. Auf ungenügend begründete Rügen oder blosse appellatorische Kritik am angefochtenen Entscheid, womit lediglich die eigene Sichtweise wiedergegeben wird, wie die Akten tatsächlich zu würdigen und welche rechtlichen Schlüsse daraus zu ziehen seien, tritt das Bundesgericht nicht ein ( BGE 138 I 171 E. 1.4 S. 176; 137 II 353 E. 5.1 S. 356; Urteil 8C_24/2020 vom 19. Februar 2020 E. 1.2 mit Hinweis).</w:t>
      </w:r>
    </w:p>
    <w:p>
      <w:r>
        <w:rPr>
          <w:b/>
        </w:rPr>
        <w:t>E. 2</w:t>
      </w:r>
    </w:p>
    <w:p>
      <w:r>
        <w:t>Streitig ist, ob die Vorinstanz Bundesrecht verletzte, indem sie die am 20. November 2018 verfügte und mit Einspracheentscheid vom 13. Mai 2019 bestätigte Verneinung der Anspruchsberechtigung auf Arbeitslosenentschädigung ab 2. August 2018 mit angefochtenem Entscheid schützte.</w:t>
      </w:r>
    </w:p>
    <w:p>
      <w:r>
        <w:rPr>
          <w:b/>
        </w:rPr>
        <w:t>E. 3</w:t>
      </w:r>
    </w:p>
    <w:p>
      <w:r>
        <w:t>Das kantonale Gericht legte die diesbezüglich massgebenden Gesetzesbestimmungen und die von der Rechtsprechung entwickelten Grundsätze zutreffend dar. Darauf wird verwiesen ( Art. 109 Abs. 3 BGG ).</w:t>
      </w:r>
    </w:p>
    <w:p>
      <w:r>
        <w:rPr>
          <w:b/>
        </w:rPr>
        <w:t>E. 4.1</w:t>
      </w:r>
    </w:p>
    <w:p>
      <w:r>
        <w:t>Zwar anerkannte die Vorinstanz, dass der Beschwerdeführer innerhalb der massgebenden Rahmenfrist für die Beitragszeit - entgegen der ÖAK - während mindestens zwölf Monaten eine beitragspflichtige Beschäftigung ausgeübt hat. Doch hat das kantonale Gericht nach eingehender Würdigung der tatsächlichen Verhältnisse mit ausführlicher Begründung, worauf verwiesen wird ( Art. 109 Abs. 3 BGG ), zutreffend dargelegt, dass dem Beschwerdeführer auch nach dem formellen Ende seiner Funktion als einzelzeichnungsberechtigter Gesellschafter und Geschäftsführer der Z.________ GmbH am 22. Juli 2016 während des hier für die richterliche Überprüfungsbefugnis massgebenden Beurteilungszeitraums ab Anfang August 2018 (vgl. BGE 143 V 409 E. 2.1 i.f. S. 411; 130 V 138 E. 2.1 S. 140; Urteil 8C_820/2013 vom 31. Januar 2014 E. 3.1) faktisch eine arbeitgeberähnliche Stellung zukam.</w:t>
      </w:r>
    </w:p>
    <w:p>
      <w:r>
        <w:rPr>
          <w:b/>
        </w:rPr>
        <w:t>E. 4.2</w:t>
      </w:r>
    </w:p>
    <w:p>
      <w:r>
        <w:t>Was der Beschwerdeführer hiegegen vorbringt, ist offensichtlich unbegründet. Nach der für das Bundesgericht grundsätzlich verbindlichen Sachverhaltsfeststellung (E. 1.2) ist gemäss angefochtenem Entscheid erstellt, dass laut Handelsregister seine Lebenspartnerin und Mutter von vier gemeinsamen Kindern seit 22. Juli 2016 als alleinige Gesellschafterin und Geschäftsführerin die Z.________ GmbH mit Einzelzeichnungsberechtigung leitet. Das kantonale Gericht würdigte nicht nur die Arbeitgeberbescheinigung der Z.________ GmbH vom 20. August 2018, wonach der Beschwerdeführer als "Leiter Softwareentwicklung / Consultant" vom 1. Oktober bis 31. Dezember 2016 für die Arbeitgeberin tätig gewesen sei, sondern auch die Zwischenverdienstbescheinigungen dieser Arbeitgeberin für die Monate August 2018 bis Juni 2019. Nach umfassender und sorgfältiger Würdigung der Faktenlage gelangte die Vorinstanz unter Berücksichtigung aller Indizien zur Überzeugung, dass dem Beschwerdeführer eine arbeitgeberähnliche Stellung zukommt, zumal die Arbeitgeberin selber in den Zwischenverdienstbescheinigungen bis Oktober 2018 davon ausging. Der Beschwerdeführer legt nicht dar, inwiefern die Rechtsprechung zur analogen Anwendung der Praxis betreffend Art. 31 Abs. 3 lit. c AVIG auf arbeitgeberähnliche Personen, welche Arbeitslosenentschädigung beanspruchen ( BGE 145 V 200 E. 4 S. 203 ff.; 123 V 234 ff.; Urteil 8C_664/2009 vom 13. Januar 2010 E. 4.1 i.f.), zu ändern wäre. Im Wesentlichen begnügt er sich mit appellatorischer Kritik am angefochtenen Entscheid (vgl. dazu E. 1.2 hievor) ohne aufzuzeigen, inwiefern die Vorinstanz bei der Beweiswürdigung Bundesrecht verletzt habe.</w:t>
      </w:r>
    </w:p>
    <w:p>
      <w:r>
        <w:rPr>
          <w:b/>
        </w:rPr>
        <w:t>E. 4.3</w:t>
      </w:r>
    </w:p>
    <w:p>
      <w:r>
        <w:t>Ändern die Vorbringen des Beschwerdeführers nichts daran, dass ihm im massgebenden Beurteilungszeitraum eine arbeitgeberähnliche Stellung zukam, ist die am 20. November 2018 verfügte sowie mit Einspracheentscheid vom 13. Mai 2019 und angefochtenem Entscheid bestätigte Verneinung der Anspruchsberechtigung auf Arbeitslosenentschädigung ab 2. August 2018 nicht zu beanstanden.</w:t>
      </w:r>
    </w:p>
    <w:p>
      <w:r>
        <w:rPr>
          <w:b/>
        </w:rPr>
        <w:t>E. 5</w:t>
      </w:r>
    </w:p>
    <w:p>
      <w:r>
        <w:t>Die Beschwerde ist offensichtlich unbegründet. Folglich wird sie im vereinfachten Verfahren nach Art. 109 Abs. 2 lit. a BGG ohne Durchführung eines Schriftenwechsels, mit summarischer Begründung und unter Hinweis auf den kantonalen Gerichtsentscheid ( Art. 109 Abs. 3 BGG ) erledigt. Der unterliegende Beschwerdeführer trägt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