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8C_622/2011 vom 10. Oktober 2011</w:t>
      </w:r>
    </w:p>
    <w:p>
      <w:r>
        <w:t>Bundesgericht, 2011-10-10, FR</w:t>
      </w:r>
    </w:p>
    <w:p>
      <w:r>
        <w:rPr>
          <w:b/>
        </w:rPr>
        <w:t xml:space="preserve">Quelle: </w:t>
      </w:r>
      <w:r>
        <w:t>https://mcp.opencaselaw.ch/entscheid/bger_8C_622_2011</w:t>
      </w:r>
    </w:p>
    <w:p>
      <w:r>
        <w:t>FR: TF 8C_622/2011 du 10 octobre 2011</w:t>
      </w:r>
    </w:p>
    <w:p>
      <w:r>
        <w:t>IT: TF 8C_622/2011 del 10 ottobre 2011</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En vertu de l' art. 42 al. 1 et 2 LTF , le recours doit indiquer, entre autres exigences, les conclusions, les motifs et les moyens de preuve; les motifs doivent exposer succinctement en quoi l'acte attaqué viole le droit.</w:t>
      </w:r>
    </w:p>
    <w:p>
      <w:r>
        <w:rPr>
          <w:b/>
        </w:rPr>
        <w:t>E. 3</w:t>
      </w:r>
    </w:p>
    <w:p>
      <w:r>
        <w:t>Le Tribunal fédéral ne peut revoir les questions de droit cantonal que sous l'angle restreint de l'arbitraire (sur cette notion: ATF 134 I 263 consid. 3.1 p. 265 s),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4</w:t>
      </w:r>
    </w:p>
    <w:p>
      <w:r>
        <w:t>Le jugement attaqué repose sur la loi cantonale sur l'action sociale vaudoise du 2 décembre 2003 (LASV; RSV 850.051), son règlement d'application du 26 octobre 2005 (RLASV; RSV 850.051.1) ainsi que la loi cantonale du 28 octobre 2008 sur la procédure administrative (LPA-VD; RSV 173.36), plus précisément sur l'art. 64 al. 2 de cette loi.</w:t>
      </w:r>
    </w:p>
    <w:p>
      <w:r>
        <w:rPr>
          <w:b/>
        </w:rPr>
        <w:t>E. 5</w:t>
      </w:r>
    </w:p>
    <w:p>
      <w:r>
        <w:t>Pour l'essentiel, l'argumentation de la recourante se résume à des commentaires personnels sur les difficultés qu'elle a rencontrées dans ses rapports avec le personnel de l'administration vaudoise ainsi que sur l'atteinte à sa réputation prétendument portée par un médecin d'orientation anthroposophique et l'état de détresse qui s'en est suivi. En particulier, l'intéressée ne prétend pas que les conditions d'un réexamen au sens de l' art. 64 al. 2 LPA -VD seraient remplies (pour comparaison, cf. arrêt 1C_430/2009 du 4 février 2010 consid. 4). Elle n'invoque aucune garantie de droit constitutionnel ni tente d'exposer de quelque autre manière en quoi l'application du droit cantonal constituerait une violation de ses droits fondamentaux. Une telle motivation ne répond manifestement pas aux exigences de l' art. 106 al. 2 LTF . Le recours n'est par conséquent pas recevable.</w:t>
      </w:r>
    </w:p>
    <w:p>
      <w:r>
        <w:rPr>
          <w:b/>
        </w:rPr>
        <w:t>E. 6</w:t>
      </w:r>
    </w:p>
    <w:p>
      <w:r>
        <w:t>Il est renoncé à la perception d'un émolument judiciaire (art. 66 al. 1, 2ème phrase, LTF).</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