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8C_620/2020 vom 3. Februar 2021</w:t>
      </w:r>
    </w:p>
    <w:p>
      <w:r>
        <w:t>Bundesgericht, 2021-02-03, DE</w:t>
      </w:r>
    </w:p>
    <w:p>
      <w:r>
        <w:rPr>
          <w:b/>
        </w:rPr>
        <w:t xml:space="preserve">Quelle: </w:t>
      </w:r>
      <w:r>
        <w:t>https://mcp.opencaselaw.ch/entscheid/bger_8C_620_2020</w:t>
      </w:r>
    </w:p>
    <w:p>
      <w:r>
        <w:t>FR: TF 8C_620/2020 du 3 février 2021</w:t>
      </w:r>
    </w:p>
    <w:p>
      <w:r>
        <w:t>IT: TF 8C_620/2020 del 3 febbraio 2021</w:t>
      </w:r>
    </w:p>
    <w:p>
      <w:pPr>
        <w:pStyle w:val="Heading2"/>
      </w:pPr>
      <w:r>
        <w:t>Erwägungen</w:t>
      </w:r>
    </w:p>
    <w:p>
      <w:r>
        <w:rPr>
          <w:b/>
        </w:rPr>
        <w:t>E. 1</w:t>
      </w:r>
    </w:p>
    <w:p>
      <w:r>
        <w:t>Die Beschwerde in öffentlich-rechtlichen Angelegenheiten (Art. 82 f. BGG)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 Steht aber - wie vorliegend - keine Geldleistung, sondern einzig eine Heilbehandlung und damit eine Sachleistung (vgl. Art. 14 ATSG ) zur Diskussion, so gelangt die Ausnahmeregelung in Art. 105 Abs. 3 in Verbindung mit Art. 97 Abs. 2 BGG nicht zur Anwendung. Bezüglich Sachverhaltsfeststellungen gilt deshalb hier die eingeschränkte Kognition ( BGE 135 V 412 ). Das Bundesgericht kann demnach eine - für den Ausgang des Verfahrens entscheidende (vgl. Art. 97 Abs. 1 BGG ) - Sachverhaltsfeststellung der Vorinstanz nur berichtigen oder ergänzen, wenn diese offensichtlich unrichtig ist oder aber auf einer Rechtsverletzung im Sinne von Art. 95 BGG beruht ( Art. 105 Abs. 1 und 2 BGG ; Urteile 8C_281/2018 vom 25. Juni 2018 E. 1.2; 8C_637/2016 vom 13. Dezember 2016 E. 2; 8C_832/2007 vom 10. März 2008 E. 1.2; je mit Hinweisen).</w:t>
      </w:r>
    </w:p>
    <w:p>
      <w:r>
        <w:rPr>
          <w:b/>
        </w:rPr>
        <w:t>E. 2</w:t>
      </w:r>
    </w:p>
    <w:p>
      <w:r>
        <w:t>Streitig ist, ob das kantonale Gericht Bundesrecht verletzte, indem es die Suva verpflichtete, über den 31. März 2017 hinaus Heilbehandlung für die rechte Schulter zu gewähren.</w:t>
      </w:r>
    </w:p>
    <w:p>
      <w:r>
        <w:rPr>
          <w:b/>
        </w:rPr>
        <w:t>E. 2.1</w:t>
      </w:r>
    </w:p>
    <w:p>
      <w:r>
        <w:t>Die Vorinstanz hat die Bestimmung von Art. 19 Abs. 1 UVG und die dazu ergangene Rechtsprechung zutreffend dargelegt. Danach hat der Unfallversicherer den Fall unter Einstellung von Heilbehandlung und Taggeld sowie Prüfung des Anspruchs auf Invalidenrente und Integritätsentschädigung abzuschliessen, wenn von der Fortsetzung der ärztlichen Behandlung keine namhafte Besserung des Gesundheitszustandes mehr erwartet werden kann und allfällige Eingliederungsmassnahmen der Invalidenversicherung abgeschlossen sind ( BGE 134 V 109 E. 4.1 S. 113). Richtig wiedergegeben werden auch die Regeln über den Beweiswert von ärztlichen Berichten oder Gutachten ( BGE 134 V 231 E. 5.1 S. 232; 125 V 351 E. 3a S. 352). Es wird darauf verwiesen.</w:t>
      </w:r>
    </w:p>
    <w:p>
      <w:r>
        <w:rPr>
          <w:b/>
        </w:rPr>
        <w:t>E. 2.2</w:t>
      </w:r>
    </w:p>
    <w:p>
      <w:r>
        <w:t>Nach den vorinstanzlichen Feststellungen war gestützt auf die Berichte der behandelnden Ärzte der Klinik F.________ vom 21. März und 6. Dezember 2017 sowie der Klinik G.________, Dr. med. H.________, vom 13. August 2018 eine diagnostische Arthroskopie mit Biopsie-Entnahme erforderlich zum Ausschluss eines Low grade-Infekts als Ursache für die weiterhin anhaltenden Schmerzen. Ob ein solcher Infekt vorliege, habe die Beschwerdeführerin zu Unrecht nicht abklären lassen, insbesondere habe der Suva-Kreisarzt dazu nicht Stellung genommen. Die Beschwerdeführerin habe unter diesen Umständen nicht vom Erreichen des Endzustandes ausgehen dürfen. Der Fallabschluss sei somit verfrüht erfolgt, zumal eine weitere Verbesserung auch der Arbeitsfähigkeit nach entsprechender weiterer Behandlung der Schulter nicht auszuschliessen sei. Sofern der Beschwerdegegner die von Dr. med. H.________ empfohlene Arthroskopie nicht ablehne, habe die Beschwerdeführerin die entsprechend anfallenden Heilkosten zu übernehmen. Auf die abschliessende Beurteilung der Ansprüche auf eine Integritätsentschädigung, die die Suva auf 10 % festgesetzt hatte, sowie auf die vom Beschwerdegegner anbegehrte Invalidenrente verzichtete das kantonale Gericht bei diesem Ergebnis.</w:t>
      </w:r>
    </w:p>
    <w:p>
      <w:r>
        <w:rPr>
          <w:b/>
        </w:rPr>
        <w:t>E. 2.3</w:t>
      </w:r>
    </w:p>
    <w:p>
      <w:r>
        <w:t>Die Beschwerdeführerin macht geltend, dass der Beschwerdegegner zum Zeitpunkt des von ihr verfügten Fallabschlusses in einer leidensangepassten Tätigkeit voll arbeitsfähig gewesen sei. Die diesbezügliche versicherungsinterne Bescheinigung sei voll beweiskräftig, nachdem sie von den behandelnden Ärzten nicht in Zweifel gezogen worden sei. Von der vorgeschlagenen operativen Intervention habe daher von vornherein keine entsprechende Verbesserung erwartet werden können. Die vorinstanzliche Zusprechung weiterer Heilbehandlung sei somit nicht gerechtfertigt.</w:t>
      </w:r>
    </w:p>
    <w:p>
      <w:r>
        <w:rPr>
          <w:b/>
        </w:rPr>
        <w:t>E. 2.4</w:t>
      </w:r>
    </w:p>
    <w:p>
      <w:r>
        <w:t>Die Beschwerdeführerin vermag mit ihrer Argumentation nicht durchzudringen. Rechtsprechungsgemäss bestimmt sich die für den Anspruch auf weitere Heilbehandlung erforderliche Besserung des Gesundheitszustandes zwar namentlich nach der zu erwartenden Steigerung oder Wiederherstellung der Arbeitsfähigkeit. Indessen handelt es sich dabei nicht um ein exklusives Beurteilungskriterium. Selbst eine ärztlich bescheinigte vollständige Arbeitsfähigkeit in der angestammten Tätigkeit vermag einen Anspruch auf Fortsetzung der ärztlichen Behandlung nicht auszuschliessen (SVR 2020 UV Nr. 24 S. 95, Urteil 8C_614/2019 E. 5.3 mit Hinweisen, insbesondere auf BGE 134 V 109 E. 4.3 S. 115; Urteil 8C_183/2020 vom 22. April 2020 E. 4.3.2). Inwiefern die Vorinstanz diese bundesrechtlichen Grundsätze mit der Zusprechung weiterer Heilbehandlung trotz festgestellter ganztägiger Arbeitsfähigkeit in einer leidensangepassten Tätigkeit verletzt haben sollte, ist nicht erkennbar. Dass sie hinsichtlich der Therapieempfehlung des behandelnden Arztes Dr. med. H.________ im jüngsten, dem Kreisarzt nicht vorgelegten Bericht vom 13. August 2018 beziehungsweise der dadurch zu erwartenden namhaften Verbesserung des Gesundheitszustandes offensichtlich unrichtige sachverhaltliche Feststellungen getroffen hätte, wird beschwerdeweise nicht geltend gemacht. Es ist daher nicht zu beanstanden, dass das kantonale Gericht die Voraussetzungen für einen Fallabschluss per 31. März 2017 als nicht erfüllt erachtete und die Beschwerdeführerin zur Übernahme der Kosten für die gemäss Dr. med. H.________ zur Abklärung und weiteren Behandlung beziehungsweise zum Ausschluss eines Infekts indizierte Schulterarthroskopie verpflichtete.</w:t>
      </w:r>
    </w:p>
    <w:p>
      <w:r>
        <w:rPr>
          <w:b/>
        </w:rPr>
        <w:t>E. 3</w:t>
      </w:r>
    </w:p>
    <w:p>
      <w:r>
        <w:t>Das Verfahren ist kostenpflichtig ( Art. 65 Abs. 1 BGG ). Die Gerichtskosten werden der unterliegenden Beschwerdeführerin auferlegt ( Art. 66 Abs. 1 BGG ). Des Weiteren hat sie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