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8C_620/2012 vom 5. März 2013</w:t>
      </w:r>
    </w:p>
    <w:p>
      <w:r>
        <w:t>Bundesgericht, 2013-03-05, DE</w:t>
      </w:r>
    </w:p>
    <w:p>
      <w:r>
        <w:rPr>
          <w:b/>
        </w:rPr>
        <w:t xml:space="preserve">Quelle: </w:t>
      </w:r>
      <w:r>
        <w:t>https://mcp.opencaselaw.ch/entscheid/bger_8C_620_2012</w:t>
      </w:r>
    </w:p>
    <w:p>
      <w:r>
        <w:t>FR: TF 8C_620/2012 du 5 mars 2013</w:t>
      </w:r>
    </w:p>
    <w:p>
      <w:r>
        <w:t>IT: TF 8C_620/2012 del 5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das kantonale Gericht Bundesrecht verletzte, als es einen Rentenanspruch des Versicherten verneinte.</w:t>
      </w:r>
    </w:p>
    <w:p>
      <w:r>
        <w:rPr>
          <w:b/>
        </w:rPr>
        <w:t>E. 3</w:t>
      </w:r>
    </w:p>
    <w:p>
      <w:r>
        <w:t>Der Beschwerdeführer rügt im Rahmen des ihm gewährten rechtlichen Gehörs, von dem durch das Bundesgericht zugezogenen Berichts der Dr. med. M.________ erst durch die bundesgerichtliche Intervention Kenntnis erhalten zu haben. Aus dem auch dem Versicherten bekannten Gutachten der Medizinischen Abklärungsstelle X.________ vom 31. Oktober 2009 ergibt sich indessen, dass ein entsprechender Bericht existiert. Somit hätte der Beschwerdeführer bei gebotener Aufmerksamkeit bereits vor der bundesgerichtlichen Intervention Kenntnis von diesem Bericht haben können.</w:t>
      </w:r>
    </w:p>
    <w:p>
      <w:r>
        <w:rPr>
          <w:b/>
        </w:rPr>
        <w:t>E. 4.1</w:t>
      </w:r>
    </w:p>
    <w:p>
      <w:r>
        <w:t>Das kantonale Gericht hat in umfassender Würdigung der medizinischen Akten, insbesondere aber gestützt auf das Gutachten der Medizinischen Abklärungsstelle X.________ vom 31. Oktober 2009, für das Bundesgericht grundsätzlich verbindlich festgestellt, dass der Versicherte in der Lage wäre, seine bisherige oder jede andere Tätigkeit mit einem Pensum von 100 % auszuüben. Was der Beschwerdeführer gegen diese Feststellung vorbringt, vermag sie nicht als bundesrechtswidrig erscheinen zu lassen. Insbesondere ist nicht nachvollziehbar, weshalb der Umstand, dass die den Versicherten damals begutachtenden Ärzte nach Angabe des Beschwerdeführers nicht mehr für das Begutachtungsinstitut arbeiten, gegen die Zuverlässigkeit und Schlüssigkeit ihrer Expertise sprechen sollte. Ebenfalls ist nicht ersichtlich, weshalb häufige Wechsel im Begutachtungsstab der Medizinischen Abklärungsstellen Y.________ Zweifel an deren Unabhängigkeit begründen sollten. Nicht offensichtlich unrichtig ist im Weiteren die vorinstanzliche Feststellung, die Doppelbildproblematik vermöge keine Arbeitsunfähigkeit zu begründen, zumal der Versicherte sowohl lesen als auch fernsehen könne und sich allfällige Doppelbilder mit dem Tragen einer Prismenbrille korrigieren liessen. Auch aus dem durch das Bundesgericht zugezogenen Bericht der Dr. med. M.________ ergibt sich keine offensichtliche Unrichtigkeit der vorinstanzlichen Feststellungen. Dasselbe gilt für den neu aufgelegten Operationsbericht Ophthalmologie vom 20. September 2012. Sollte sich nach der Operation die Situation gegenüber dem Zustand vor der Operation wider Erwarten verschlechtert haben, so wäre dieser Umstand allenfalls im Rahmen einer Neuanmeldung zu berücksichtigen. Somit hat das kantonale Gericht entgegen den Vorbringen des Versicherten auch nicht gegen Bundesrecht verstossen, als es dem Gutachten der Medizinischen Abklärungsstelle X.________ hohen Beweiswert zumass, obwohl kein Ophthalmologe bei der Begutachtung mitgewirkt hat, ist es doch grundsätzlich der Gutachtensstelle überlassen, über Art und Umfang der aufgrund der konkreten Fragestellung erforderlichen Untersuchungen zu befinden (vgl. etwa Urteile 8C_639/2011 vom 5. Januar 2012 E. 4.3.4 und 8C_594/2011 vom 20. Oktober 2011 E. 4.3.1).</w:t>
      </w:r>
    </w:p>
    <w:p>
      <w:r>
        <w:rPr>
          <w:b/>
        </w:rPr>
        <w:t>E. 4.2</w:t>
      </w:r>
    </w:p>
    <w:p>
      <w:r>
        <w:t>Durfte die Vorinstanz, ohne gegen Bundesrecht zu verstossen, von einer ganztägigen Arbeitsfähigkeit in der bisherigen und in jeder anderen Tätigkeit ausgehen, so ist die Verneinung eines Rentenanspruches nicht zu beanstanden. Die Beschwerde des Versicherten ist demnach abzuweisen.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