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61/2011 vom 29. August 2011</w:t>
      </w:r>
    </w:p>
    <w:p>
      <w:r>
        <w:t>Bundesgericht, 2011-08-29, DE</w:t>
      </w:r>
    </w:p>
    <w:p>
      <w:r>
        <w:rPr>
          <w:b/>
        </w:rPr>
        <w:t xml:space="preserve">Quelle: </w:t>
      </w:r>
      <w:r>
        <w:t>https://mcp.opencaselaw.ch/entscheid/bger_8C_61_2011</w:t>
      </w:r>
    </w:p>
    <w:p>
      <w:r>
        <w:t>FR: TF 8C 61/2011 du 29 août 2011</w:t>
      </w:r>
    </w:p>
    <w:p>
      <w:r>
        <w:t>IT: TF 8C 61/2011 del 29 agosto 2011</w:t>
      </w:r>
    </w:p>
    <w:p>
      <w:pPr>
        <w:pStyle w:val="Heading2"/>
      </w:pPr>
      <w:r>
        <w:t>Regeste</w:t>
      </w:r>
    </w:p>
    <w:p>
      <w:r>
        <w:t>Arbeitslosenversicherung (Insolvenzentschädigung)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 bis c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zu Art. 132 lit. a OG [in der bis 30. Juni 2006 gültig gewesenen Fassung]).</w:t>
      </w:r>
    </w:p>
    <w:p>
      <w:r>
        <w:rPr>
          <w:b/>
        </w:rPr>
        <w:t>E. 2.1</w:t>
      </w:r>
    </w:p>
    <w:p>
      <w:r>
        <w:t>Im vorinstanzlichen Entscheid werden die gesetzlichen Bestimmungen über den Anspruch auf Insolvenzentschädigung ( Art. 51 Abs. 1 AVIG ), den Umfang des Anspruchs ( Art. 52 Abs. 1 AVIG ) sowie über die Pflichten des Arbeitnehmers im Konkurs- oder Pfändungsverfahren ( Art. 55 Abs. 1 AVIG ; BGE 114 V 56 E. 3d S. 59; ARV 2002 Nr. 8 S. 62 ff. und Nr. 30 S. 190 ff., 1999 Nr. 24 S. 140 ff.)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ff.). Die Vorinstanz hat dabei richtig festgehalten, auch eine ursprüngliche Leistungsverweigerung infolge Verletzung der Schadenminderungspflicht im Sinne der zu Art. 55 Abs. 1 AVIG ergangenen Rechtsprechung setze voraus, dass dem Versicherten ein schweres Verschulden, also vorsätzliches oder grobfahrlässiges Handeln oder Unterlassen vorgeworfen werden kann (vgl. URS BURGHERR, Die Insolvenzentschädigung, Zahlungsunfähigkeit des Arbeitgebers als versichertes Risiko, Diss. Zürich 2004, S. 166). Das Ausmass der vorausgesetzten Schadenminderungspflicht richtet sich nach den jeweiligen Umständen des Einzelfalls.</w:t>
      </w:r>
    </w:p>
    <w:p>
      <w:r>
        <w:rPr>
          <w:b/>
        </w:rPr>
        <w:t>E. 3</w:t>
      </w:r>
    </w:p>
    <w:p>
      <w:r>
        <w:t>Vorliegend ist umstritten, ob die Beschwerdeführerin vor Auflösung des Arbeitsverhältnisses und vor der Konkurseröffnung am 30. Januar 2008 ihrer Schadenminderungspflicht nachgekommen ist. Die Vorinstanz hat erwogen, eine versicherte Person habe im Rahmen ihrer Schadenminderungspflicht alles zu unternehmen, um ihre Ansprüche gegenüber dem Arbeitgeber zu wahren. Insbesondere aus beweisrechtlichen Gründen könne erwartet werden, dass Mahnungen wenigstens schriftlich abgefasst würden. Das Schreiben der Beschwerdeführerin und zweier mitunterzeichnender Arbeitskollegen vom 16. November 2007, in welchem gegenüber der Arbeitgeberin ein gleichentags geführtes Gespräch über die ausstehenden Löhne und deren begründetes Versprechen bestätigt wurde, diese spätestens bis Ende Jahr zu begleichen, wertete das kantonale Gericht nicht als Mahnung oder als unmissverständliche Geltendmachung der Lohnforderung. Weiter wird im angefochtenen Entscheid ausgeführt, spätestens als am 27. November 2007 über die Y._______ AG der Konkurs eröffnet worden sei, hätten weitergehende Schritte - wie eine schriftliche Mahnung - gegenüber der Arbeitgeberin erfolgen müssen, was nicht geschah und was eine Verletzung der Schadenminderungspflicht darstelle.</w:t>
      </w:r>
    </w:p>
    <w:p>
      <w:r>
        <w:rPr>
          <w:b/>
        </w:rPr>
        <w:t>E. 4.1</w:t>
      </w:r>
    </w:p>
    <w:p>
      <w:r>
        <w:t>Auf Grund der vorliegenden Akten wurden bis zum Zeitpunkt der - ersten - Konkurseröffnung am 27. November 2007 die bis zu diesem Zeitpunkt fälligen Löhne für die Monate September und Oktober nicht bezahlt. Damit hatte die Beschwerdeführerin seit Antritt der Arbeitsstelle am 3. September 2007 überhaupt keine Lohnzahlungen erhalten. Weiter wurde mit der vorinstanzlichen Beschwerde ein nicht unterzeichnetes Schreiben eingereicht, mit welchem auf ein am 16. November 2007 geführtes Gespräch mit der Arbeitgeberin über die ausstehenden Lohnzahlungen verwiesen wird. Demnach warte man auf den Abschluss eines bis Ende des Jahres in Aussicht stehenden Immobilien-Geschäfts, welches die nötigen Mittel zur Bezahlung der offenen Lohnforderungen bringen solle.</w:t>
      </w:r>
    </w:p>
    <w:p>
      <w:r>
        <w:rPr>
          <w:b/>
        </w:rPr>
        <w:t>E. 4.2</w:t>
      </w:r>
    </w:p>
    <w:p>
      <w:r>
        <w:t>Nach konstanter Rechtsprechung - auf welche auch im angefochtenen Entscheid verwiesen wird - genügt es für die Erfüllung der Schadenminderungspflicht in der Regel nicht,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 8C_682/2009 vom 23. Oktober 2009 E.4, veröffentlicht in ARV 2010 S. 46).</w:t>
      </w:r>
    </w:p>
    <w:p>
      <w:r>
        <w:rPr>
          <w:b/>
        </w:rPr>
        <w:t>E. 5</w:t>
      </w:r>
    </w:p>
    <w:p>
      <w:r>
        <w:t>Vorliegend trat die Beschwerdeführerin am 3. September 2007 eine neue Stelle an. Gemäss Antrag auf Insolvenzentschädigung hat sie überhaupt nie eine Lohnzahlung erhalten. Von Beginn weg mussten der Versicherten deshalb Zweifel über die Ernsthaftigkeit des Arbeitsverhältnisses erwachsen. Auch nach eigenen Angaben hat die Beschwerdeführerin zur Durchsetzung ihrer Forderung gegenüber der Arbeitgeberin nichts weiter unternommen, als diese vom Verwaltungsrat der Firma, M.________, mündlich zu fordern. Dies könnte angesichts der Gesamtumstände in der Anfangsphase als knapp genügende Bemühung akzeptiert werden. Dass die Beschwerdeführerin aber auch nach der Konkurseröffnung am 27. November 2007 weiterhin tatenlos blieb, muss als Verletzung ihrer Schadenminderungspflicht gegenüber der Arbeitslosenkasse gewertet werden. Angesichts des Umstandes, dass sie ihren Lohn überhaupt nie erhalten hatte, durfte sie nicht weiter auf blosse mündliche Beteuerungen seitens der Arbeitgeberschaft abstellen. Wenn der Verwaltungsrat, wie in der Notiz über ein Gespräch vom 16. November 2007 dargestellt, tatsächlich versichert hatte, dass gegebenenfalls private Mittel für die Begleichung der ausstehenden Löhne bereit gestellt würden, hätte die Beschwerdeführerin spätestens ab dem 27. November 2007 diese schriftlich geltend machen, womöglich ein entsprechendes schriftliches Schuldversprechen oder Garantieleistungen einholen müssen, zumal sie damals noch nicht wissen konnte, dass dem Rekurs gegen den Konkursentscheid aufschiebende Wirkung zuerkannt werden wird. Damit haben Verwaltung und Vorinstanz den Anspruch auf Insolvenzentschädigung im Ergebnis zu Recht verneint.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